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1827" w:firstLineChars="350"/>
        <w:jc w:val="left"/>
        <w:rPr>
          <w:rFonts w:ascii="宋体" w:hAnsi="宋体" w:cs="宋体"/>
          <w:b/>
          <w:color w:val="000000"/>
          <w:kern w:val="0"/>
          <w:sz w:val="52"/>
          <w:szCs w:val="52"/>
        </w:rPr>
      </w:pPr>
    </w:p>
    <w:p>
      <w:pPr>
        <w:autoSpaceDE w:val="0"/>
        <w:autoSpaceDN w:val="0"/>
        <w:adjustRightInd w:val="0"/>
        <w:ind w:firstLine="2610" w:firstLineChars="500"/>
        <w:rPr>
          <w:rFonts w:ascii="Arial Unicode MS" w:hAnsi="Arial Unicode MS" w:eastAsia="Arial Unicode MS" w:cs="Arial Unicode MS"/>
          <w:b/>
          <w:color w:val="FF0000"/>
          <w:kern w:val="0"/>
          <w:sz w:val="52"/>
          <w:szCs w:val="52"/>
        </w:rPr>
      </w:pPr>
    </w:p>
    <w:p>
      <w:pPr>
        <w:autoSpaceDE w:val="0"/>
        <w:autoSpaceDN w:val="0"/>
        <w:adjustRightInd w:val="0"/>
        <w:jc w:val="center"/>
        <w:rPr>
          <w:rFonts w:hint="eastAsia" w:ascii="宋体" w:hAnsi="宋体" w:cs="宋体"/>
          <w:b/>
          <w:color w:val="000000" w:themeColor="text1"/>
          <w:kern w:val="0"/>
          <w:sz w:val="72"/>
          <w:szCs w:val="72"/>
        </w:rPr>
      </w:pPr>
      <w:r>
        <w:rPr>
          <w:rFonts w:hint="eastAsia" w:ascii="宋体" w:hAnsi="宋体" w:cs="宋体"/>
          <w:b/>
          <w:color w:val="000000" w:themeColor="text1"/>
          <w:kern w:val="0"/>
          <w:sz w:val="72"/>
          <w:szCs w:val="72"/>
        </w:rPr>
        <w:t>HRYD-8600</w:t>
      </w:r>
    </w:p>
    <w:p>
      <w:pPr>
        <w:autoSpaceDE w:val="0"/>
        <w:autoSpaceDN w:val="0"/>
        <w:adjustRightInd w:val="0"/>
        <w:jc w:val="center"/>
        <w:rPr>
          <w:rFonts w:ascii="宋体" w:hAnsi="宋体" w:cs="宋体"/>
          <w:b/>
          <w:kern w:val="0"/>
          <w:sz w:val="72"/>
          <w:szCs w:val="72"/>
        </w:rPr>
      </w:pPr>
      <w:r>
        <w:rPr>
          <w:rFonts w:hint="eastAsia" w:ascii="宋体" w:hAnsi="宋体" w:cs="宋体"/>
          <w:b/>
          <w:kern w:val="0"/>
          <w:sz w:val="72"/>
          <w:szCs w:val="72"/>
        </w:rPr>
        <w:t>无线高压核相仪</w:t>
      </w:r>
    </w:p>
    <w:p>
      <w:pPr>
        <w:autoSpaceDE w:val="0"/>
        <w:autoSpaceDN w:val="0"/>
        <w:adjustRightInd w:val="0"/>
        <w:ind w:firstLine="2088" w:firstLineChars="400"/>
        <w:rPr>
          <w:rFonts w:ascii="Arial Unicode MS" w:hAnsi="Arial Unicode MS" w:eastAsia="Arial Unicode MS" w:cs="Arial Unicode MS"/>
          <w:b/>
          <w:kern w:val="0"/>
          <w:sz w:val="52"/>
          <w:szCs w:val="52"/>
        </w:rPr>
      </w:pPr>
      <w:r>
        <w:rPr>
          <w:rFonts w:hint="eastAsia" w:ascii="黑体" w:hAnsi="黑体" w:eastAsia="黑体" w:cs="宋体"/>
          <w:b/>
          <w:kern w:val="0"/>
          <w:sz w:val="52"/>
          <w:szCs w:val="52"/>
        </w:rPr>
        <w:t xml:space="preserve">     </w:t>
      </w:r>
    </w:p>
    <w:p>
      <w:pPr>
        <w:autoSpaceDE w:val="0"/>
        <w:autoSpaceDN w:val="0"/>
        <w:adjustRightInd w:val="0"/>
        <w:jc w:val="left"/>
        <w:rPr>
          <w:rFonts w:ascii="宋体" w:hAnsi="宋体" w:cs="宋体"/>
          <w:kern w:val="0"/>
          <w:sz w:val="24"/>
        </w:rPr>
      </w:pPr>
    </w:p>
    <w:p>
      <w:pPr>
        <w:autoSpaceDE w:val="0"/>
        <w:autoSpaceDN w:val="0"/>
        <w:adjustRightInd w:val="0"/>
        <w:jc w:val="left"/>
        <w:rPr>
          <w:rFonts w:ascii="宋体" w:hAnsi="宋体" w:cs="宋体"/>
          <w:kern w:val="0"/>
          <w:sz w:val="24"/>
        </w:rPr>
      </w:pPr>
    </w:p>
    <w:p>
      <w:pPr>
        <w:autoSpaceDE w:val="0"/>
        <w:autoSpaceDN w:val="0"/>
        <w:adjustRightInd w:val="0"/>
        <w:jc w:val="left"/>
        <w:rPr>
          <w:rFonts w:ascii="宋体" w:hAnsi="宋体" w:cs="宋体"/>
          <w:kern w:val="0"/>
          <w:sz w:val="24"/>
        </w:rPr>
      </w:pPr>
    </w:p>
    <w:p>
      <w:pPr>
        <w:autoSpaceDE w:val="0"/>
        <w:autoSpaceDN w:val="0"/>
        <w:adjustRightInd w:val="0"/>
        <w:jc w:val="left"/>
        <w:rPr>
          <w:rFonts w:ascii="宋体" w:hAnsi="宋体" w:cs="宋体"/>
          <w:kern w:val="0"/>
          <w:sz w:val="24"/>
        </w:rPr>
      </w:pPr>
    </w:p>
    <w:p>
      <w:pPr>
        <w:widowControl/>
        <w:jc w:val="left"/>
        <w:rPr>
          <w:rFonts w:ascii="宋体" w:hAnsi="宋体" w:cs="宋体"/>
          <w:kern w:val="0"/>
          <w:sz w:val="24"/>
        </w:rPr>
      </w:pPr>
    </w:p>
    <w:p>
      <w:pPr>
        <w:autoSpaceDE w:val="0"/>
        <w:autoSpaceDN w:val="0"/>
        <w:adjustRightInd w:val="0"/>
        <w:jc w:val="left"/>
        <w:rPr>
          <w:rFonts w:ascii="宋体" w:hAnsi="宋体" w:cs="宋体"/>
          <w:kern w:val="0"/>
          <w:sz w:val="24"/>
        </w:rPr>
      </w:pPr>
    </w:p>
    <w:p>
      <w:pPr>
        <w:autoSpaceDE w:val="0"/>
        <w:autoSpaceDN w:val="0"/>
        <w:adjustRightInd w:val="0"/>
        <w:jc w:val="left"/>
        <w:rPr>
          <w:rFonts w:ascii="宋体" w:hAnsi="宋体" w:cs="宋体"/>
          <w:kern w:val="0"/>
          <w:sz w:val="24"/>
        </w:rPr>
      </w:pPr>
    </w:p>
    <w:p>
      <w:pPr>
        <w:autoSpaceDE w:val="0"/>
        <w:autoSpaceDN w:val="0"/>
        <w:adjustRightInd w:val="0"/>
        <w:jc w:val="center"/>
        <w:rPr>
          <w:rFonts w:ascii="华文行楷" w:hAnsi="宋体" w:eastAsia="华文行楷" w:cs="宋体"/>
          <w:kern w:val="0"/>
          <w:sz w:val="84"/>
          <w:szCs w:val="84"/>
        </w:rPr>
      </w:pPr>
      <w:r>
        <w:rPr>
          <w:rFonts w:hint="eastAsia" w:ascii="华文行楷" w:hAnsi="宋体" w:eastAsia="华文行楷" w:cs="宋体"/>
          <w:kern w:val="0"/>
          <w:sz w:val="84"/>
          <w:szCs w:val="84"/>
        </w:rPr>
        <w:t>使用说明书</w:t>
      </w:r>
    </w:p>
    <w:p>
      <w:pPr>
        <w:autoSpaceDE w:val="0"/>
        <w:autoSpaceDN w:val="0"/>
        <w:adjustRightInd w:val="0"/>
        <w:jc w:val="left"/>
        <w:rPr>
          <w:rFonts w:ascii="宋体" w:hAnsi="宋体" w:cs="宋体"/>
          <w:kern w:val="0"/>
          <w:sz w:val="24"/>
        </w:rPr>
      </w:pPr>
    </w:p>
    <w:p>
      <w:pPr>
        <w:autoSpaceDE w:val="0"/>
        <w:autoSpaceDN w:val="0"/>
        <w:adjustRightInd w:val="0"/>
        <w:jc w:val="left"/>
        <w:rPr>
          <w:rFonts w:ascii="宋体" w:hAnsi="宋体" w:cs="宋体"/>
          <w:kern w:val="0"/>
          <w:sz w:val="24"/>
        </w:rPr>
      </w:pPr>
    </w:p>
    <w:p>
      <w:pPr>
        <w:autoSpaceDE w:val="0"/>
        <w:autoSpaceDN w:val="0"/>
        <w:adjustRightInd w:val="0"/>
        <w:jc w:val="left"/>
        <w:rPr>
          <w:rFonts w:ascii="宋体" w:hAnsi="宋体" w:cs="宋体"/>
          <w:kern w:val="0"/>
          <w:sz w:val="24"/>
        </w:rPr>
      </w:pPr>
    </w:p>
    <w:p>
      <w:pPr>
        <w:autoSpaceDE w:val="0"/>
        <w:autoSpaceDN w:val="0"/>
        <w:adjustRightInd w:val="0"/>
        <w:jc w:val="left"/>
        <w:rPr>
          <w:rFonts w:ascii="宋体" w:hAnsi="宋体" w:cs="宋体"/>
          <w:kern w:val="0"/>
          <w:sz w:val="24"/>
        </w:rPr>
      </w:pPr>
    </w:p>
    <w:p>
      <w:pPr>
        <w:autoSpaceDE w:val="0"/>
        <w:autoSpaceDN w:val="0"/>
        <w:adjustRightInd w:val="0"/>
        <w:jc w:val="left"/>
        <w:rPr>
          <w:rFonts w:ascii="宋体" w:hAnsi="宋体" w:cs="宋体"/>
          <w:kern w:val="0"/>
          <w:sz w:val="24"/>
        </w:rPr>
      </w:pPr>
    </w:p>
    <w:p>
      <w:pPr>
        <w:autoSpaceDE w:val="0"/>
        <w:autoSpaceDN w:val="0"/>
        <w:adjustRightInd w:val="0"/>
        <w:jc w:val="left"/>
        <w:rPr>
          <w:rFonts w:ascii="宋体" w:hAnsi="宋体" w:cs="宋体"/>
          <w:kern w:val="0"/>
          <w:sz w:val="24"/>
        </w:rPr>
      </w:pPr>
    </w:p>
    <w:p>
      <w:pPr>
        <w:autoSpaceDE w:val="0"/>
        <w:autoSpaceDN w:val="0"/>
        <w:adjustRightInd w:val="0"/>
        <w:jc w:val="left"/>
        <w:rPr>
          <w:rFonts w:ascii="宋体" w:hAnsi="宋体" w:cs="宋体"/>
          <w:kern w:val="0"/>
          <w:sz w:val="24"/>
        </w:rPr>
      </w:pPr>
    </w:p>
    <w:p>
      <w:pPr>
        <w:autoSpaceDE w:val="0"/>
        <w:autoSpaceDN w:val="0"/>
        <w:adjustRightInd w:val="0"/>
        <w:ind w:firstLine="480" w:firstLineChars="100"/>
        <w:jc w:val="left"/>
        <w:rPr>
          <w:rFonts w:ascii="华文新魏" w:hAnsi="宋体" w:eastAsia="华文新魏" w:cs="宋体"/>
          <w:kern w:val="0"/>
          <w:sz w:val="48"/>
          <w:szCs w:val="48"/>
        </w:rPr>
      </w:pPr>
    </w:p>
    <w:p>
      <w:pPr>
        <w:autoSpaceDE w:val="0"/>
        <w:autoSpaceDN w:val="0"/>
        <w:adjustRightInd w:val="0"/>
        <w:jc w:val="left"/>
        <w:rPr>
          <w:rFonts w:ascii="华文新魏" w:hAnsi="宋体" w:eastAsia="华文新魏" w:cs="宋体"/>
          <w:kern w:val="0"/>
          <w:sz w:val="48"/>
          <w:szCs w:val="48"/>
        </w:rPr>
      </w:pPr>
    </w:p>
    <w:p>
      <w:pPr>
        <w:autoSpaceDE w:val="0"/>
        <w:autoSpaceDN w:val="0"/>
        <w:adjustRightInd w:val="0"/>
        <w:rPr>
          <w:rFonts w:ascii="华文新魏" w:hAnsi="宋体" w:eastAsia="华文新魏" w:cs="宋体"/>
          <w:kern w:val="0"/>
          <w:szCs w:val="21"/>
        </w:rPr>
      </w:pPr>
      <w:r>
        <w:rPr>
          <w:rFonts w:ascii="华文新魏" w:hAnsi="宋体" w:eastAsia="华文新魏" w:cs="宋体"/>
          <w:kern w:val="0"/>
          <w:sz w:val="52"/>
          <w:szCs w:val="52"/>
        </w:rPr>
        <w:br w:type="page"/>
      </w:r>
    </w:p>
    <w:p>
      <w:pPr>
        <w:widowControl/>
        <w:ind w:firstLine="3240" w:firstLineChars="450"/>
        <w:rPr>
          <w:sz w:val="72"/>
          <w:szCs w:val="72"/>
        </w:rPr>
      </w:pPr>
    </w:p>
    <w:p>
      <w:pPr>
        <w:widowControl/>
        <w:ind w:firstLine="3240" w:firstLineChars="450"/>
        <w:rPr>
          <w:rFonts w:ascii="宋体" w:hAnsi="宋体" w:cs="宋体"/>
          <w:kern w:val="0"/>
          <w:sz w:val="24"/>
        </w:rPr>
      </w:pPr>
      <w:r>
        <w:rPr>
          <w:rFonts w:hint="eastAsia"/>
          <w:sz w:val="72"/>
          <w:szCs w:val="72"/>
          <w:lang w:val="zh-CN"/>
        </w:rPr>
        <w:t xml:space="preserve">目  </w:t>
      </w:r>
      <w:r>
        <w:rPr>
          <w:sz w:val="72"/>
          <w:szCs w:val="72"/>
          <w:lang w:val="zh-CN"/>
        </w:rPr>
        <w:t>录</w:t>
      </w:r>
    </w:p>
    <w:p>
      <w:pPr>
        <w:rPr>
          <w:sz w:val="28"/>
          <w:szCs w:val="28"/>
          <w:lang w:val="zh-CN"/>
        </w:rPr>
      </w:pPr>
    </w:p>
    <w:p>
      <w:pPr>
        <w:pStyle w:val="7"/>
        <w:tabs>
          <w:tab w:val="right" w:leader="dot" w:pos="8306"/>
        </w:tabs>
        <w:rPr>
          <w:sz w:val="28"/>
          <w:szCs w:val="28"/>
        </w:rPr>
      </w:pPr>
      <w:r>
        <w:rPr>
          <w:rFonts w:ascii="宋体" w:hAnsi="宋体"/>
          <w:b/>
          <w:sz w:val="28"/>
          <w:szCs w:val="28"/>
        </w:rPr>
        <w:fldChar w:fldCharType="begin"/>
      </w:r>
      <w:r>
        <w:rPr>
          <w:rFonts w:ascii="宋体" w:hAnsi="宋体"/>
          <w:b/>
          <w:sz w:val="28"/>
          <w:szCs w:val="28"/>
        </w:rPr>
        <w:instrText xml:space="preserve"> TOC \o "1-3" \h \z \u </w:instrText>
      </w:r>
      <w:r>
        <w:rPr>
          <w:rFonts w:ascii="宋体" w:hAnsi="宋体"/>
          <w:b/>
          <w:sz w:val="28"/>
          <w:szCs w:val="28"/>
        </w:rPr>
        <w:fldChar w:fldCharType="separate"/>
      </w:r>
      <w:r>
        <w:fldChar w:fldCharType="begin"/>
      </w:r>
      <w:r>
        <w:instrText xml:space="preserve"> HYPERLINK \l "_Toc25480" </w:instrText>
      </w:r>
      <w:r>
        <w:fldChar w:fldCharType="separate"/>
      </w:r>
      <w:r>
        <w:rPr>
          <w:rFonts w:hint="eastAsia"/>
          <w:sz w:val="28"/>
          <w:szCs w:val="28"/>
        </w:rPr>
        <w:t>一、产品简介</w:t>
      </w:r>
      <w:r>
        <w:rPr>
          <w:sz w:val="28"/>
          <w:szCs w:val="28"/>
        </w:rPr>
        <w:tab/>
      </w:r>
      <w:r>
        <w:rPr>
          <w:sz w:val="28"/>
          <w:szCs w:val="28"/>
        </w:rPr>
        <w:fldChar w:fldCharType="begin"/>
      </w:r>
      <w:r>
        <w:rPr>
          <w:sz w:val="28"/>
          <w:szCs w:val="28"/>
        </w:rPr>
        <w:instrText xml:space="preserve"> PAGEREF _Toc25480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7"/>
        <w:tabs>
          <w:tab w:val="right" w:leader="dot" w:pos="8306"/>
        </w:tabs>
        <w:rPr>
          <w:sz w:val="28"/>
          <w:szCs w:val="28"/>
        </w:rPr>
      </w:pPr>
      <w:r>
        <w:fldChar w:fldCharType="begin"/>
      </w:r>
      <w:r>
        <w:instrText xml:space="preserve"> HYPERLINK \l "_Toc28954" </w:instrText>
      </w:r>
      <w:r>
        <w:fldChar w:fldCharType="separate"/>
      </w:r>
      <w:r>
        <w:rPr>
          <w:rFonts w:hint="eastAsia"/>
          <w:sz w:val="28"/>
          <w:szCs w:val="28"/>
        </w:rPr>
        <w:t>二、工作原理</w:t>
      </w:r>
      <w:r>
        <w:rPr>
          <w:sz w:val="28"/>
          <w:szCs w:val="28"/>
        </w:rPr>
        <w:tab/>
      </w:r>
      <w:r>
        <w:rPr>
          <w:sz w:val="28"/>
          <w:szCs w:val="28"/>
        </w:rPr>
        <w:fldChar w:fldCharType="begin"/>
      </w:r>
      <w:r>
        <w:rPr>
          <w:sz w:val="28"/>
          <w:szCs w:val="28"/>
        </w:rPr>
        <w:instrText xml:space="preserve"> PAGEREF _Toc28954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7"/>
        <w:tabs>
          <w:tab w:val="right" w:leader="dot" w:pos="8306"/>
        </w:tabs>
        <w:rPr>
          <w:sz w:val="28"/>
          <w:szCs w:val="28"/>
        </w:rPr>
      </w:pPr>
      <w:r>
        <w:fldChar w:fldCharType="begin"/>
      </w:r>
      <w:r>
        <w:instrText xml:space="preserve"> HYPERLINK \l "_Toc24496" </w:instrText>
      </w:r>
      <w:r>
        <w:fldChar w:fldCharType="separate"/>
      </w:r>
      <w:r>
        <w:rPr>
          <w:rFonts w:hint="eastAsia"/>
          <w:sz w:val="28"/>
          <w:szCs w:val="28"/>
        </w:rPr>
        <w:t>三、安全事项</w:t>
      </w:r>
      <w:r>
        <w:rPr>
          <w:sz w:val="28"/>
          <w:szCs w:val="28"/>
        </w:rPr>
        <w:tab/>
      </w:r>
      <w:r>
        <w:rPr>
          <w:sz w:val="28"/>
          <w:szCs w:val="28"/>
        </w:rPr>
        <w:fldChar w:fldCharType="begin"/>
      </w:r>
      <w:r>
        <w:rPr>
          <w:sz w:val="28"/>
          <w:szCs w:val="28"/>
        </w:rPr>
        <w:instrText xml:space="preserve"> PAGEREF _Toc24496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7"/>
        <w:tabs>
          <w:tab w:val="right" w:leader="dot" w:pos="8306"/>
        </w:tabs>
        <w:rPr>
          <w:sz w:val="28"/>
          <w:szCs w:val="28"/>
        </w:rPr>
      </w:pPr>
      <w:r>
        <w:fldChar w:fldCharType="begin"/>
      </w:r>
      <w:r>
        <w:instrText xml:space="preserve"> HYPERLINK \l "_Toc23549" </w:instrText>
      </w:r>
      <w:r>
        <w:fldChar w:fldCharType="separate"/>
      </w:r>
      <w:r>
        <w:rPr>
          <w:rFonts w:hint="eastAsia"/>
          <w:sz w:val="28"/>
          <w:szCs w:val="28"/>
        </w:rPr>
        <w:t>四、技术参数</w:t>
      </w:r>
      <w:r>
        <w:rPr>
          <w:sz w:val="28"/>
          <w:szCs w:val="28"/>
        </w:rPr>
        <w:tab/>
      </w:r>
      <w:r>
        <w:rPr>
          <w:sz w:val="28"/>
          <w:szCs w:val="28"/>
        </w:rPr>
        <w:fldChar w:fldCharType="begin"/>
      </w:r>
      <w:r>
        <w:rPr>
          <w:sz w:val="28"/>
          <w:szCs w:val="28"/>
        </w:rPr>
        <w:instrText xml:space="preserve"> PAGEREF _Toc23549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7"/>
        <w:tabs>
          <w:tab w:val="right" w:leader="dot" w:pos="8306"/>
        </w:tabs>
        <w:rPr>
          <w:sz w:val="28"/>
          <w:szCs w:val="28"/>
        </w:rPr>
      </w:pPr>
      <w:r>
        <w:fldChar w:fldCharType="begin"/>
      </w:r>
      <w:r>
        <w:instrText xml:space="preserve"> HYPERLINK \l "_Toc9495" </w:instrText>
      </w:r>
      <w:r>
        <w:fldChar w:fldCharType="separate"/>
      </w:r>
      <w:r>
        <w:rPr>
          <w:rFonts w:hint="eastAsia"/>
          <w:kern w:val="0"/>
          <w:sz w:val="28"/>
          <w:szCs w:val="28"/>
        </w:rPr>
        <w:t>五、仪器简介</w:t>
      </w:r>
      <w:r>
        <w:rPr>
          <w:sz w:val="28"/>
          <w:szCs w:val="28"/>
        </w:rPr>
        <w:tab/>
      </w:r>
      <w:r>
        <w:rPr>
          <w:sz w:val="28"/>
          <w:szCs w:val="28"/>
        </w:rPr>
        <w:fldChar w:fldCharType="begin"/>
      </w:r>
      <w:r>
        <w:rPr>
          <w:sz w:val="28"/>
          <w:szCs w:val="28"/>
        </w:rPr>
        <w:instrText xml:space="preserve"> PAGEREF _Toc9495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7"/>
        <w:tabs>
          <w:tab w:val="right" w:leader="dot" w:pos="8306"/>
        </w:tabs>
        <w:rPr>
          <w:sz w:val="28"/>
          <w:szCs w:val="28"/>
        </w:rPr>
      </w:pPr>
      <w:r>
        <w:fldChar w:fldCharType="begin"/>
      </w:r>
      <w:r>
        <w:instrText xml:space="preserve"> HYPERLINK \l "_Toc3384" </w:instrText>
      </w:r>
      <w:r>
        <w:fldChar w:fldCharType="separate"/>
      </w:r>
      <w:r>
        <w:rPr>
          <w:rFonts w:hint="eastAsia"/>
          <w:sz w:val="28"/>
          <w:szCs w:val="28"/>
        </w:rPr>
        <w:t>六、近程核相</w:t>
      </w:r>
      <w:r>
        <w:rPr>
          <w:sz w:val="28"/>
          <w:szCs w:val="28"/>
        </w:rPr>
        <w:tab/>
      </w:r>
      <w:r>
        <w:rPr>
          <w:sz w:val="28"/>
          <w:szCs w:val="28"/>
        </w:rPr>
        <w:fldChar w:fldCharType="begin"/>
      </w:r>
      <w:r>
        <w:rPr>
          <w:sz w:val="28"/>
          <w:szCs w:val="28"/>
        </w:rPr>
        <w:instrText xml:space="preserve"> PAGEREF _Toc3384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7"/>
        <w:tabs>
          <w:tab w:val="right" w:leader="dot" w:pos="8306"/>
        </w:tabs>
        <w:rPr>
          <w:sz w:val="28"/>
          <w:szCs w:val="28"/>
        </w:rPr>
      </w:pPr>
      <w:r>
        <w:fldChar w:fldCharType="begin"/>
      </w:r>
      <w:r>
        <w:instrText xml:space="preserve"> HYPERLINK \l "_Toc21051" </w:instrText>
      </w:r>
      <w:r>
        <w:fldChar w:fldCharType="separate"/>
      </w:r>
      <w:r>
        <w:rPr>
          <w:rFonts w:hint="eastAsia"/>
          <w:kern w:val="0"/>
          <w:sz w:val="28"/>
          <w:szCs w:val="28"/>
        </w:rPr>
        <w:t>七、结果判断与分析</w:t>
      </w:r>
      <w:r>
        <w:rPr>
          <w:sz w:val="28"/>
          <w:szCs w:val="28"/>
        </w:rPr>
        <w:tab/>
      </w:r>
      <w:r>
        <w:rPr>
          <w:sz w:val="28"/>
          <w:szCs w:val="28"/>
        </w:rPr>
        <w:fldChar w:fldCharType="begin"/>
      </w:r>
      <w:r>
        <w:rPr>
          <w:sz w:val="28"/>
          <w:szCs w:val="28"/>
        </w:rPr>
        <w:instrText xml:space="preserve"> PAGEREF _Toc21051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7"/>
        <w:tabs>
          <w:tab w:val="right" w:leader="dot" w:pos="8306"/>
        </w:tabs>
        <w:rPr>
          <w:sz w:val="28"/>
          <w:szCs w:val="28"/>
        </w:rPr>
      </w:pPr>
      <w:r>
        <w:fldChar w:fldCharType="begin"/>
      </w:r>
      <w:r>
        <w:instrText xml:space="preserve"> HYPERLINK \l "_Toc29681" </w:instrText>
      </w:r>
      <w:r>
        <w:fldChar w:fldCharType="separate"/>
      </w:r>
      <w:r>
        <w:rPr>
          <w:rFonts w:hint="eastAsia"/>
          <w:kern w:val="0"/>
          <w:sz w:val="28"/>
          <w:szCs w:val="28"/>
        </w:rPr>
        <w:t>八、维护保养</w:t>
      </w:r>
      <w:r>
        <w:rPr>
          <w:sz w:val="28"/>
          <w:szCs w:val="28"/>
        </w:rPr>
        <w:tab/>
      </w:r>
      <w:r>
        <w:rPr>
          <w:sz w:val="28"/>
          <w:szCs w:val="28"/>
        </w:rPr>
        <w:fldChar w:fldCharType="begin"/>
      </w:r>
      <w:r>
        <w:rPr>
          <w:sz w:val="28"/>
          <w:szCs w:val="28"/>
        </w:rPr>
        <w:instrText xml:space="preserve"> PAGEREF _Toc29681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7"/>
        <w:tabs>
          <w:tab w:val="right" w:leader="dot" w:pos="8306"/>
        </w:tabs>
        <w:rPr>
          <w:sz w:val="28"/>
          <w:szCs w:val="28"/>
        </w:rPr>
      </w:pPr>
      <w:r>
        <w:fldChar w:fldCharType="begin"/>
      </w:r>
      <w:r>
        <w:instrText xml:space="preserve"> HYPERLINK \l "_Toc16832" </w:instrText>
      </w:r>
      <w:r>
        <w:fldChar w:fldCharType="separate"/>
      </w:r>
      <w:r>
        <w:rPr>
          <w:rFonts w:hint="eastAsia"/>
          <w:kern w:val="0"/>
          <w:sz w:val="28"/>
          <w:szCs w:val="28"/>
        </w:rPr>
        <w:t>九、出厂配置清单</w:t>
      </w:r>
      <w:r>
        <w:rPr>
          <w:sz w:val="28"/>
          <w:szCs w:val="28"/>
        </w:rPr>
        <w:tab/>
      </w:r>
      <w:r>
        <w:rPr>
          <w:sz w:val="28"/>
          <w:szCs w:val="28"/>
        </w:rPr>
        <w:fldChar w:fldCharType="begin"/>
      </w:r>
      <w:r>
        <w:rPr>
          <w:sz w:val="28"/>
          <w:szCs w:val="28"/>
        </w:rPr>
        <w:instrText xml:space="preserve"> PAGEREF _Toc16832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7"/>
        <w:tabs>
          <w:tab w:val="right" w:leader="dot" w:pos="8306"/>
        </w:tabs>
        <w:rPr>
          <w:sz w:val="28"/>
          <w:szCs w:val="28"/>
        </w:rPr>
      </w:pPr>
      <w:r>
        <w:fldChar w:fldCharType="begin"/>
      </w:r>
      <w:r>
        <w:instrText xml:space="preserve"> HYPERLINK \l "_Toc28654" </w:instrText>
      </w:r>
      <w:r>
        <w:fldChar w:fldCharType="separate"/>
      </w:r>
      <w:r>
        <w:rPr>
          <w:rFonts w:hint="eastAsia"/>
          <w:kern w:val="0"/>
          <w:sz w:val="28"/>
          <w:szCs w:val="28"/>
        </w:rPr>
        <w:t>十、售后服务</w:t>
      </w:r>
      <w:r>
        <w:rPr>
          <w:sz w:val="28"/>
          <w:szCs w:val="28"/>
        </w:rPr>
        <w:tab/>
      </w:r>
      <w:r>
        <w:rPr>
          <w:sz w:val="28"/>
          <w:szCs w:val="28"/>
        </w:rPr>
        <w:fldChar w:fldCharType="begin"/>
      </w:r>
      <w:r>
        <w:rPr>
          <w:sz w:val="28"/>
          <w:szCs w:val="28"/>
        </w:rPr>
        <w:instrText xml:space="preserve"> PAGEREF _Toc28654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7"/>
        <w:tabs>
          <w:tab w:val="right" w:leader="dot" w:pos="8306"/>
        </w:tabs>
        <w:rPr>
          <w:sz w:val="28"/>
          <w:szCs w:val="28"/>
        </w:rPr>
      </w:pPr>
      <w:r>
        <w:fldChar w:fldCharType="begin"/>
      </w:r>
      <w:r>
        <w:instrText xml:space="preserve"> HYPERLINK \l "_Toc19778" </w:instrText>
      </w:r>
      <w:r>
        <w:fldChar w:fldCharType="separate"/>
      </w:r>
      <w:r>
        <w:rPr>
          <w:rFonts w:hint="eastAsia"/>
          <w:sz w:val="28"/>
          <w:szCs w:val="28"/>
        </w:rPr>
        <w:t>附录A</w:t>
      </w:r>
      <w:r>
        <w:rPr>
          <w:sz w:val="28"/>
          <w:szCs w:val="28"/>
        </w:rPr>
        <w:tab/>
      </w:r>
      <w:r>
        <w:rPr>
          <w:sz w:val="28"/>
          <w:szCs w:val="28"/>
        </w:rPr>
        <w:fldChar w:fldCharType="begin"/>
      </w:r>
      <w:r>
        <w:rPr>
          <w:sz w:val="28"/>
          <w:szCs w:val="28"/>
        </w:rPr>
        <w:instrText xml:space="preserve"> PAGEREF _Toc19778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7"/>
        <w:tabs>
          <w:tab w:val="right" w:leader="dot" w:pos="8306"/>
        </w:tabs>
        <w:rPr>
          <w:sz w:val="28"/>
          <w:szCs w:val="28"/>
        </w:rPr>
      </w:pPr>
      <w:r>
        <w:fldChar w:fldCharType="begin"/>
      </w:r>
      <w:r>
        <w:instrText xml:space="preserve"> HYPERLINK \l "_Toc12705" </w:instrText>
      </w:r>
      <w:r>
        <w:fldChar w:fldCharType="separate"/>
      </w:r>
      <w:r>
        <w:rPr>
          <w:rFonts w:hint="eastAsia"/>
          <w:sz w:val="28"/>
          <w:szCs w:val="28"/>
        </w:rPr>
        <w:t>附录B</w:t>
      </w:r>
      <w:r>
        <w:rPr>
          <w:sz w:val="28"/>
          <w:szCs w:val="28"/>
        </w:rPr>
        <w:tab/>
      </w:r>
      <w:r>
        <w:rPr>
          <w:sz w:val="28"/>
          <w:szCs w:val="28"/>
        </w:rPr>
        <w:fldChar w:fldCharType="begin"/>
      </w:r>
      <w:r>
        <w:rPr>
          <w:sz w:val="28"/>
          <w:szCs w:val="28"/>
        </w:rPr>
        <w:instrText xml:space="preserve"> PAGEREF _Toc12705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2"/>
        <w:rPr>
          <w:rFonts w:ascii="宋体" w:hAnsi="宋体"/>
          <w:sz w:val="30"/>
          <w:szCs w:val="30"/>
        </w:rPr>
      </w:pPr>
      <w:r>
        <w:rPr>
          <w:rFonts w:ascii="宋体" w:hAnsi="宋体"/>
          <w:sz w:val="28"/>
          <w:szCs w:val="28"/>
        </w:rPr>
        <w:fldChar w:fldCharType="end"/>
      </w:r>
    </w:p>
    <w:p>
      <w:pPr>
        <w:pStyle w:val="2"/>
        <w:rPr>
          <w:rFonts w:ascii="宋体" w:hAnsi="宋体"/>
          <w:sz w:val="30"/>
          <w:szCs w:val="30"/>
        </w:rPr>
      </w:pPr>
    </w:p>
    <w:p>
      <w:pPr>
        <w:pStyle w:val="2"/>
        <w:rPr>
          <w:rFonts w:ascii="宋体" w:hAnsi="宋体"/>
          <w:sz w:val="30"/>
          <w:szCs w:val="30"/>
        </w:rPr>
      </w:pPr>
    </w:p>
    <w:p>
      <w:pPr>
        <w:pStyle w:val="2"/>
        <w:rPr>
          <w:szCs w:val="28"/>
        </w:rPr>
      </w:pPr>
      <w:r>
        <w:rPr>
          <w:rFonts w:ascii="宋体" w:hAnsi="宋体" w:cs="宋体"/>
          <w:kern w:val="0"/>
          <w:sz w:val="24"/>
        </w:rPr>
        <w:br w:type="page"/>
      </w:r>
      <w:bookmarkStart w:id="0" w:name="_Toc25480"/>
      <w:r>
        <w:rPr>
          <w:rFonts w:hint="eastAsia"/>
        </w:rPr>
        <w:t>一、产品简介</w:t>
      </w:r>
      <w:bookmarkEnd w:id="0"/>
    </w:p>
    <w:p>
      <w:pPr>
        <w:autoSpaceDE w:val="0"/>
        <w:autoSpaceDN w:val="0"/>
        <w:adjustRightInd w:val="0"/>
        <w:ind w:firstLine="562" w:firstLineChars="200"/>
        <w:jc w:val="left"/>
        <w:rPr>
          <w:rFonts w:ascii="宋体" w:hAnsi="宋体" w:cs="宋体"/>
          <w:b/>
          <w:kern w:val="0"/>
          <w:sz w:val="28"/>
          <w:szCs w:val="28"/>
        </w:rPr>
      </w:pPr>
      <w:r>
        <w:rPr>
          <w:rFonts w:hint="eastAsia" w:ascii="宋体" w:hAnsi="宋体" w:cs="宋体"/>
          <w:b/>
          <w:kern w:val="0"/>
          <w:sz w:val="28"/>
          <w:szCs w:val="28"/>
        </w:rPr>
        <w:t>HRYD-8600</w:t>
      </w:r>
      <w:r>
        <w:rPr>
          <w:rFonts w:ascii="宋体" w:hAnsi="宋体" w:cs="宋体"/>
          <w:b/>
          <w:kern w:val="0"/>
          <w:sz w:val="28"/>
          <w:szCs w:val="28"/>
        </w:rPr>
        <w:t xml:space="preserve"> </w:t>
      </w:r>
      <w:r>
        <w:rPr>
          <w:rFonts w:hint="eastAsia" w:ascii="宋体" w:hAnsi="宋体" w:cs="宋体"/>
          <w:b/>
          <w:kern w:val="0"/>
          <w:sz w:val="28"/>
          <w:szCs w:val="28"/>
        </w:rPr>
        <w:t>无线高压核相仪</w:t>
      </w:r>
      <w:r>
        <w:rPr>
          <w:rFonts w:hint="eastAsia" w:ascii="宋体" w:hAnsi="宋体" w:cs="宋体"/>
          <w:kern w:val="0"/>
          <w:sz w:val="28"/>
          <w:szCs w:val="28"/>
        </w:rPr>
        <w:t>（以下简称“仪器”）用于两条高压线路并网或环网核相。仪器适用于5V～220kV交流输电线路和二次带电显示器核相，同时具有高压验电功能。</w:t>
      </w:r>
    </w:p>
    <w:p>
      <w:pPr>
        <w:autoSpaceDE w:val="0"/>
        <w:autoSpaceDN w:val="0"/>
        <w:adjustRightInd w:val="0"/>
        <w:ind w:firstLine="560" w:firstLineChars="200"/>
        <w:jc w:val="left"/>
        <w:rPr>
          <w:rFonts w:ascii="宋体" w:hAnsi="宋体" w:cs="宋体"/>
          <w:kern w:val="0"/>
          <w:sz w:val="28"/>
          <w:szCs w:val="28"/>
        </w:rPr>
      </w:pPr>
      <w:r>
        <w:rPr>
          <w:rFonts w:hint="eastAsia" w:ascii="宋体" w:hAnsi="宋体" w:cs="宋体"/>
          <w:kern w:val="0"/>
          <w:sz w:val="28"/>
          <w:szCs w:val="28"/>
        </w:rPr>
        <w:t>仪器采用无线传输技术，操作安全可靠，使用方便，克服了有线核相仪的诸多缺点，此外仪器可升级相序检测和远程核相功能。</w:t>
      </w:r>
    </w:p>
    <w:p>
      <w:pPr>
        <w:pStyle w:val="2"/>
        <w:rPr>
          <w:rFonts w:ascii="宋体" w:hAnsi="宋体" w:cs="宋体"/>
          <w:kern w:val="0"/>
          <w:sz w:val="28"/>
          <w:szCs w:val="28"/>
        </w:rPr>
      </w:pPr>
      <w:bookmarkStart w:id="1" w:name="_Toc28954"/>
      <w:r>
        <w:rPr>
          <w:rFonts w:hint="eastAsia"/>
        </w:rPr>
        <w:t>二、工作原理</w:t>
      </w:r>
      <w:bookmarkEnd w:id="1"/>
    </w:p>
    <w:p>
      <w:pPr>
        <w:autoSpaceDE w:val="0"/>
        <w:autoSpaceDN w:val="0"/>
        <w:adjustRightInd w:val="0"/>
        <w:ind w:firstLine="560" w:firstLineChars="200"/>
        <w:jc w:val="left"/>
        <w:rPr>
          <w:rFonts w:ascii="宋体" w:hAnsi="宋体" w:cs="宋体"/>
          <w:kern w:val="0"/>
          <w:sz w:val="28"/>
          <w:szCs w:val="28"/>
        </w:rPr>
      </w:pPr>
      <w:r>
        <w:rPr>
          <w:rFonts w:hint="eastAsia" w:ascii="宋体" w:hAnsi="宋体"/>
          <w:kern w:val="0"/>
          <w:sz w:val="28"/>
          <w:szCs w:val="28"/>
        </w:rPr>
        <w:t>仪器</w:t>
      </w:r>
      <w:r>
        <w:rPr>
          <w:rFonts w:hint="eastAsia" w:ascii="宋体" w:hAnsi="宋体" w:cs="宋体"/>
          <w:kern w:val="0"/>
          <w:sz w:val="28"/>
          <w:szCs w:val="28"/>
        </w:rPr>
        <w:t>由2个发射器和1个接收主机组成。发射器可以判断线路是否带电，测量线路相位和频率。近程核相时，X和Y发射器将测量的数据通过无线电发送给接收主机，接收主机依据发射器测量的数据计算两线路相位差值，判断同异相。</w:t>
      </w:r>
    </w:p>
    <w:p>
      <w:pPr>
        <w:pStyle w:val="2"/>
      </w:pPr>
      <w:bookmarkStart w:id="2" w:name="_Toc24496"/>
      <w:r>
        <w:rPr>
          <w:rFonts w:hint="eastAsia"/>
        </w:rPr>
        <w:t>三、安全事项</w:t>
      </w:r>
      <w:bookmarkEnd w:id="2"/>
      <w:r>
        <w:rPr>
          <w:rFonts w:hint="eastAsia"/>
          <w:sz w:val="32"/>
        </w:rPr>
        <w:t xml:space="preserve"> </w:t>
      </w:r>
    </w:p>
    <w:p>
      <w:pPr>
        <w:rPr>
          <w:rFonts w:ascii="宋体" w:hAnsi="宋体"/>
          <w:sz w:val="28"/>
          <w:szCs w:val="28"/>
        </w:rPr>
      </w:pPr>
      <w:r>
        <w:rPr>
          <w:rFonts w:hint="eastAsia" w:ascii="宋体" w:hAnsi="宋体"/>
          <w:sz w:val="28"/>
          <w:szCs w:val="28"/>
        </w:rPr>
        <w:t xml:space="preserve">1、现场测试时，应按电力部门高压测试安全距离标准进行操作。 </w:t>
      </w:r>
    </w:p>
    <w:p>
      <w:pPr>
        <w:rPr>
          <w:rFonts w:ascii="宋体" w:hAnsi="宋体"/>
          <w:sz w:val="28"/>
          <w:szCs w:val="28"/>
        </w:rPr>
      </w:pPr>
      <w:r>
        <w:rPr>
          <w:rFonts w:hint="eastAsia" w:ascii="宋体" w:hAnsi="宋体"/>
          <w:sz w:val="28"/>
          <w:szCs w:val="28"/>
        </w:rPr>
        <w:t>2、标准配置绝缘杆3米，对应电压等级为 ≤ 220kV。如测量线路电压高于220kV时，请使用长度大于3米的绝缘杆。</w:t>
      </w:r>
      <w:bookmarkStart w:id="20" w:name="_GoBack"/>
      <w:bookmarkEnd w:id="20"/>
    </w:p>
    <w:p>
      <w:pPr>
        <w:rPr>
          <w:rFonts w:ascii="宋体" w:hAnsi="宋体"/>
          <w:sz w:val="28"/>
          <w:szCs w:val="28"/>
        </w:rPr>
      </w:pPr>
      <w:r>
        <w:rPr>
          <w:rFonts w:hint="eastAsia" w:ascii="宋体" w:hAnsi="宋体"/>
          <w:sz w:val="28"/>
          <w:szCs w:val="28"/>
        </w:rPr>
        <w:t>3、核相操作时，手持位置不要超过绝缘杆手柄位置。</w:t>
      </w:r>
    </w:p>
    <w:p>
      <w:pPr>
        <w:rPr>
          <w:rFonts w:ascii="宋体" w:hAnsi="宋体"/>
          <w:sz w:val="28"/>
          <w:szCs w:val="28"/>
        </w:rPr>
      </w:pPr>
      <w:r>
        <w:rPr>
          <w:rFonts w:hint="eastAsia" w:ascii="宋体" w:hAnsi="宋体"/>
          <w:b/>
          <w:bCs/>
          <w:sz w:val="28"/>
          <w:szCs w:val="28"/>
        </w:rPr>
        <w:t>注意：发射器使用3.7V可充电锂电池，请不要更换其他电池。</w:t>
      </w:r>
    </w:p>
    <w:p>
      <w:pPr>
        <w:pStyle w:val="2"/>
      </w:pPr>
      <w:bookmarkStart w:id="3" w:name="_Toc23549"/>
      <w:r>
        <w:rPr>
          <w:rFonts w:hint="eastAsia"/>
        </w:rPr>
        <w:t>四、技术参数</w:t>
      </w:r>
      <w:bookmarkEnd w:id="3"/>
    </w:p>
    <w:p>
      <w:pPr>
        <w:rPr>
          <w:rFonts w:ascii="宋体" w:hAnsi="宋体"/>
          <w:sz w:val="28"/>
          <w:szCs w:val="28"/>
        </w:rPr>
      </w:pPr>
      <w:r>
        <w:rPr>
          <w:rFonts w:hint="eastAsia" w:ascii="宋体" w:hAnsi="宋体"/>
          <w:sz w:val="28"/>
          <w:szCs w:val="28"/>
        </w:rPr>
        <w:t>1、相位差准确度：误差≤5°。</w:t>
      </w:r>
    </w:p>
    <w:p>
      <w:pPr>
        <w:rPr>
          <w:rFonts w:ascii="宋体" w:hAnsi="宋体"/>
          <w:sz w:val="28"/>
          <w:szCs w:val="28"/>
        </w:rPr>
      </w:pPr>
      <w:r>
        <w:rPr>
          <w:rFonts w:hint="eastAsia" w:ascii="宋体" w:hAnsi="宋体"/>
          <w:sz w:val="28"/>
          <w:szCs w:val="28"/>
        </w:rPr>
        <w:t>2、频率准确度：±0.1HZ。</w:t>
      </w:r>
    </w:p>
    <w:p>
      <w:pPr>
        <w:ind w:left="420" w:hanging="420" w:hangingChars="150"/>
        <w:rPr>
          <w:rFonts w:ascii="宋体" w:hAnsi="宋体"/>
          <w:sz w:val="28"/>
          <w:szCs w:val="28"/>
        </w:rPr>
      </w:pPr>
      <w:r>
        <w:rPr>
          <w:rFonts w:hint="eastAsia" w:ascii="宋体" w:hAnsi="宋体"/>
          <w:sz w:val="28"/>
          <w:szCs w:val="28"/>
        </w:rPr>
        <w:t>3、可跨电压测量范围为5V</w:t>
      </w:r>
      <w:r>
        <w:rPr>
          <w:rFonts w:hint="eastAsia" w:ascii="宋体" w:hAnsi="宋体" w:cs="宋体"/>
          <w:kern w:val="0"/>
          <w:sz w:val="28"/>
          <w:szCs w:val="28"/>
        </w:rPr>
        <w:t>～</w:t>
      </w:r>
      <w:r>
        <w:rPr>
          <w:rFonts w:hint="eastAsia" w:ascii="宋体" w:hAnsi="宋体"/>
          <w:sz w:val="28"/>
          <w:szCs w:val="28"/>
        </w:rPr>
        <w:t>220kV。</w:t>
      </w:r>
    </w:p>
    <w:p>
      <w:pPr>
        <w:ind w:left="560" w:hanging="560" w:hangingChars="200"/>
        <w:rPr>
          <w:rFonts w:ascii="宋体" w:hAnsi="宋体"/>
          <w:sz w:val="28"/>
          <w:szCs w:val="28"/>
        </w:rPr>
      </w:pPr>
      <w:r>
        <w:rPr>
          <w:rFonts w:hint="eastAsia" w:ascii="宋体" w:hAnsi="宋体"/>
          <w:sz w:val="28"/>
          <w:szCs w:val="28"/>
        </w:rPr>
        <w:t>4、发射器和接收主机的最大传输视距约100米。</w:t>
      </w:r>
    </w:p>
    <w:p>
      <w:pPr>
        <w:ind w:left="420" w:hanging="420" w:hangingChars="150"/>
        <w:rPr>
          <w:rFonts w:ascii="宋体" w:hAnsi="宋体"/>
          <w:sz w:val="28"/>
          <w:szCs w:val="28"/>
        </w:rPr>
      </w:pPr>
      <w:r>
        <w:rPr>
          <w:rFonts w:hint="eastAsia" w:ascii="宋体" w:hAnsi="宋体"/>
          <w:sz w:val="28"/>
          <w:szCs w:val="28"/>
        </w:rPr>
        <w:t>5、真人语音提示测量结果和操作步骤。</w:t>
      </w:r>
      <w:r>
        <w:rPr>
          <w:rFonts w:ascii="宋体" w:hAnsi="宋体"/>
          <w:sz w:val="28"/>
          <w:szCs w:val="28"/>
        </w:rPr>
        <w:t xml:space="preserve"> </w:t>
      </w:r>
    </w:p>
    <w:p>
      <w:pPr>
        <w:rPr>
          <w:rFonts w:ascii="宋体" w:hAnsi="宋体"/>
          <w:sz w:val="28"/>
          <w:szCs w:val="28"/>
        </w:rPr>
      </w:pPr>
      <w:r>
        <w:rPr>
          <w:rFonts w:hint="eastAsia" w:ascii="宋体" w:hAnsi="宋体"/>
          <w:sz w:val="28"/>
          <w:szCs w:val="28"/>
        </w:rPr>
        <w:t>6、3.2英寸彩屏同时显示2条线路相位差、频率、矢量图和同异相结果</w:t>
      </w:r>
      <w:r>
        <w:rPr>
          <w:rFonts w:ascii="宋体" w:hAnsi="宋体"/>
          <w:sz w:val="28"/>
          <w:szCs w:val="28"/>
        </w:rPr>
        <w:t>。</w:t>
      </w:r>
    </w:p>
    <w:p>
      <w:pPr>
        <w:rPr>
          <w:rFonts w:ascii="宋体" w:hAnsi="宋体"/>
          <w:sz w:val="28"/>
          <w:szCs w:val="28"/>
        </w:rPr>
      </w:pPr>
      <w:r>
        <w:rPr>
          <w:rFonts w:hint="eastAsia" w:ascii="宋体" w:hAnsi="宋体"/>
          <w:sz w:val="28"/>
          <w:szCs w:val="28"/>
        </w:rPr>
        <w:t>7、连续1小时无操作自动关机。</w:t>
      </w:r>
    </w:p>
    <w:p>
      <w:pPr>
        <w:rPr>
          <w:rFonts w:ascii="宋体" w:hAnsi="宋体"/>
          <w:sz w:val="28"/>
          <w:szCs w:val="28"/>
        </w:rPr>
      </w:pPr>
      <w:r>
        <w:rPr>
          <w:rFonts w:hint="eastAsia" w:ascii="宋体" w:hAnsi="宋体"/>
          <w:sz w:val="28"/>
          <w:szCs w:val="28"/>
        </w:rPr>
        <w:t>8、发射器和接收主机均内置可充电锂电池，配置5</w:t>
      </w:r>
      <w:r>
        <w:rPr>
          <w:rFonts w:ascii="宋体" w:hAnsi="宋体"/>
          <w:sz w:val="28"/>
          <w:szCs w:val="28"/>
        </w:rPr>
        <w:t>V充电器</w:t>
      </w:r>
      <w:r>
        <w:rPr>
          <w:rFonts w:hint="eastAsia" w:ascii="宋体" w:hAnsi="宋体"/>
          <w:sz w:val="28"/>
          <w:szCs w:val="28"/>
        </w:rPr>
        <w:t>。</w:t>
      </w:r>
    </w:p>
    <w:p>
      <w:pPr>
        <w:rPr>
          <w:rFonts w:ascii="宋体" w:hAnsi="宋体"/>
          <w:sz w:val="28"/>
          <w:szCs w:val="28"/>
        </w:rPr>
      </w:pPr>
      <w:r>
        <w:rPr>
          <w:rFonts w:hint="eastAsia" w:ascii="宋体" w:hAnsi="宋体"/>
          <w:sz w:val="28"/>
          <w:szCs w:val="28"/>
        </w:rPr>
        <w:t>9、主机</w:t>
      </w:r>
      <w:r>
        <w:rPr>
          <w:rFonts w:ascii="宋体" w:hAnsi="宋体"/>
          <w:sz w:val="28"/>
          <w:szCs w:val="28"/>
        </w:rPr>
        <w:t>内置</w:t>
      </w:r>
      <w:r>
        <w:rPr>
          <w:rFonts w:hint="eastAsia" w:ascii="宋体" w:hAnsi="宋体"/>
          <w:sz w:val="28"/>
          <w:szCs w:val="28"/>
        </w:rPr>
        <w:t>18650锂电池，电池容量为2500mAH。发射器内置10440锂电池，电池容量为450mAH。</w:t>
      </w:r>
    </w:p>
    <w:p>
      <w:pPr>
        <w:rPr>
          <w:rFonts w:ascii="宋体" w:hAnsi="宋体"/>
          <w:sz w:val="28"/>
          <w:szCs w:val="28"/>
        </w:rPr>
      </w:pPr>
      <w:r>
        <w:rPr>
          <w:rFonts w:hint="eastAsia" w:ascii="宋体" w:hAnsi="宋体"/>
          <w:sz w:val="28"/>
          <w:szCs w:val="28"/>
        </w:rPr>
        <w:t>10、高压测量时泄漏电流&lt;10uA。</w:t>
      </w:r>
    </w:p>
    <w:p>
      <w:pPr>
        <w:rPr>
          <w:rFonts w:ascii="宋体" w:hAnsi="宋体"/>
          <w:sz w:val="28"/>
          <w:szCs w:val="28"/>
        </w:rPr>
      </w:pPr>
      <w:r>
        <w:rPr>
          <w:rFonts w:hint="eastAsia" w:ascii="宋体" w:hAnsi="宋体"/>
          <w:sz w:val="28"/>
          <w:szCs w:val="28"/>
        </w:rPr>
        <w:t>11、发射器工作功耗&lt;0.1W，接收主机工作功耗&lt;0.3W。</w:t>
      </w:r>
    </w:p>
    <w:p>
      <w:pPr>
        <w:rPr>
          <w:rFonts w:ascii="宋体" w:hAnsi="宋体"/>
          <w:sz w:val="28"/>
          <w:szCs w:val="28"/>
        </w:rPr>
      </w:pPr>
      <w:r>
        <w:rPr>
          <w:rFonts w:hint="eastAsia" w:ascii="宋体" w:hAnsi="宋体"/>
          <w:sz w:val="28"/>
          <w:szCs w:val="28"/>
        </w:rPr>
        <w:t>12、工作环境：-35℃--- +45℃ 湿度≤95%RH。</w:t>
      </w:r>
    </w:p>
    <w:p>
      <w:pPr>
        <w:rPr>
          <w:rFonts w:ascii="宋体" w:hAnsi="宋体"/>
          <w:sz w:val="28"/>
          <w:szCs w:val="28"/>
        </w:rPr>
      </w:pPr>
      <w:r>
        <w:rPr>
          <w:rFonts w:hint="eastAsia" w:ascii="宋体" w:hAnsi="宋体"/>
          <w:sz w:val="28"/>
          <w:szCs w:val="28"/>
        </w:rPr>
        <w:t>13、整机重量：约3.6KG。</w:t>
      </w:r>
    </w:p>
    <w:p>
      <w:pPr>
        <w:rPr>
          <w:rFonts w:ascii="宋体" w:hAnsi="宋体"/>
          <w:sz w:val="28"/>
          <w:szCs w:val="28"/>
        </w:rPr>
      </w:pPr>
      <w:r>
        <w:rPr>
          <w:rFonts w:hint="eastAsia" w:ascii="宋体" w:hAnsi="宋体"/>
          <w:sz w:val="28"/>
          <w:szCs w:val="28"/>
        </w:rPr>
        <w:t>14、仪器包装尺寸：长56cm*宽26cm*高13cm。</w:t>
      </w:r>
    </w:p>
    <w:p>
      <w:pPr>
        <w:rPr>
          <w:rFonts w:ascii="宋体" w:hAnsi="宋体"/>
          <w:sz w:val="28"/>
          <w:szCs w:val="28"/>
        </w:rPr>
      </w:pPr>
      <w:r>
        <w:rPr>
          <w:rFonts w:hint="eastAsia" w:ascii="宋体" w:hAnsi="宋体"/>
          <w:sz w:val="28"/>
          <w:szCs w:val="28"/>
        </w:rPr>
        <w:br w:type="page"/>
      </w:r>
    </w:p>
    <w:p>
      <w:pPr>
        <w:pStyle w:val="2"/>
        <w:rPr>
          <w:kern w:val="0"/>
        </w:rPr>
      </w:pPr>
      <w:bookmarkStart w:id="4" w:name="_Toc9495"/>
      <w:r>
        <w:rPr>
          <w:rFonts w:hint="eastAsia"/>
          <w:kern w:val="0"/>
        </w:rPr>
        <w:t>五、仪器简介</w:t>
      </w:r>
      <w:bookmarkEnd w:id="4"/>
    </w:p>
    <w:p>
      <w:pPr>
        <w:autoSpaceDE w:val="0"/>
        <w:autoSpaceDN w:val="0"/>
        <w:adjustRightInd w:val="0"/>
        <w:ind w:left="280" w:hanging="280" w:hangingChars="100"/>
        <w:jc w:val="left"/>
        <w:rPr>
          <w:rFonts w:ascii="宋体" w:hAnsi="宋体" w:cs="宋体"/>
          <w:kern w:val="0"/>
          <w:sz w:val="28"/>
          <w:szCs w:val="28"/>
        </w:rPr>
      </w:pPr>
      <w:r>
        <w:rPr>
          <w:rFonts w:hint="eastAsia" w:ascii="宋体" w:hAnsi="宋体" w:cs="宋体"/>
          <w:kern w:val="0"/>
          <w:sz w:val="28"/>
          <w:szCs w:val="28"/>
        </w:rPr>
        <w:t>1、仪器外观简介</w:t>
      </w:r>
    </w:p>
    <w:p>
      <w:pPr>
        <w:autoSpaceDE w:val="0"/>
        <w:autoSpaceDN w:val="0"/>
        <w:adjustRightInd w:val="0"/>
        <w:jc w:val="center"/>
        <w:rPr>
          <w:rFonts w:ascii="宋体" w:hAnsi="宋体" w:cs="宋体"/>
          <w:b/>
          <w:kern w:val="0"/>
          <w:sz w:val="28"/>
          <w:szCs w:val="28"/>
        </w:rPr>
      </w:pPr>
      <w:r>
        <w:rPr>
          <w:rFonts w:hint="eastAsia" w:ascii="宋体" w:hAnsi="宋体" w:cs="宋体"/>
          <w:b/>
          <w:kern w:val="0"/>
          <w:sz w:val="28"/>
          <w:szCs w:val="28"/>
        </w:rPr>
        <w:drawing>
          <wp:inline distT="0" distB="0" distL="114300" distR="114300">
            <wp:extent cx="4298950" cy="3027680"/>
            <wp:effectExtent l="0" t="0" r="6350" b="1270"/>
            <wp:docPr id="1" name="图片 1" descr="C:\Users\Administrator\Desktop\图片\核相类\新版普通核相仪\TAG-8600s.jpgTAG-86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核相类\新版普通核相仪\TAG-8600s.jpgTAG-8600s"/>
                    <pic:cNvPicPr>
                      <a:picLocks noChangeAspect="1"/>
                    </pic:cNvPicPr>
                  </pic:nvPicPr>
                  <pic:blipFill>
                    <a:blip r:embed="rId7"/>
                    <a:srcRect/>
                    <a:stretch>
                      <a:fillRect/>
                    </a:stretch>
                  </pic:blipFill>
                  <pic:spPr>
                    <a:xfrm>
                      <a:off x="0" y="0"/>
                      <a:ext cx="4298950" cy="3027680"/>
                    </a:xfrm>
                    <a:prstGeom prst="rect">
                      <a:avLst/>
                    </a:prstGeom>
                  </pic:spPr>
                </pic:pic>
              </a:graphicData>
            </a:graphic>
          </wp:inline>
        </w:drawing>
      </w:r>
    </w:p>
    <w:p>
      <w:pPr>
        <w:autoSpaceDE w:val="0"/>
        <w:autoSpaceDN w:val="0"/>
        <w:adjustRightInd w:val="0"/>
        <w:jc w:val="left"/>
        <w:rPr>
          <w:rFonts w:ascii="宋体" w:hAnsi="宋体" w:cs="宋体"/>
          <w:color w:val="000000"/>
          <w:kern w:val="0"/>
          <w:sz w:val="28"/>
          <w:szCs w:val="28"/>
        </w:rPr>
      </w:pPr>
      <w:r>
        <w:rPr>
          <w:rFonts w:hint="eastAsia" w:ascii="宋体" w:hAnsi="宋体" w:cs="宋体"/>
          <w:color w:val="000000"/>
          <w:kern w:val="0"/>
          <w:sz w:val="28"/>
          <w:szCs w:val="28"/>
        </w:rPr>
        <w:t>组件说明：</w:t>
      </w:r>
    </w:p>
    <w:tbl>
      <w:tblPr>
        <w:tblStyle w:val="9"/>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9"/>
        <w:gridCol w:w="2841"/>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1" w:hRule="atLeast"/>
        </w:trPr>
        <w:tc>
          <w:tcPr>
            <w:tcW w:w="2839" w:type="dxa"/>
            <w:vAlign w:val="bottom"/>
          </w:tcPr>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drawing>
                <wp:inline distT="0" distB="0" distL="114300" distR="114300">
                  <wp:extent cx="793750" cy="1523365"/>
                  <wp:effectExtent l="0" t="0" r="6350" b="635"/>
                  <wp:docPr id="4" name="图片 4" descr="G:\图片\自营产品\新版普通核相仪\近程核对相位界面.jpg近程核对相位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图片\自营产品\新版普通核相仪\近程核对相位界面.jpg近程核对相位界面"/>
                          <pic:cNvPicPr>
                            <a:picLocks noChangeAspect="1"/>
                          </pic:cNvPicPr>
                        </pic:nvPicPr>
                        <pic:blipFill>
                          <a:blip r:embed="rId8"/>
                          <a:srcRect/>
                          <a:stretch>
                            <a:fillRect/>
                          </a:stretch>
                        </pic:blipFill>
                        <pic:spPr>
                          <a:xfrm>
                            <a:off x="0" y="0"/>
                            <a:ext cx="793750" cy="1523365"/>
                          </a:xfrm>
                          <a:prstGeom prst="rect">
                            <a:avLst/>
                          </a:prstGeom>
                        </pic:spPr>
                      </pic:pic>
                    </a:graphicData>
                  </a:graphic>
                </wp:inline>
              </w:drawing>
            </w:r>
          </w:p>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t>接收主机</w:t>
            </w:r>
          </w:p>
        </w:tc>
        <w:tc>
          <w:tcPr>
            <w:tcW w:w="2841" w:type="dxa"/>
            <w:vAlign w:val="bottom"/>
          </w:tcPr>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drawing>
                <wp:anchor distT="0" distB="0" distL="114300" distR="114300" simplePos="0" relativeHeight="251666432" behindDoc="0" locked="0" layoutInCell="1" allowOverlap="1">
                  <wp:simplePos x="0" y="0"/>
                  <wp:positionH relativeFrom="column">
                    <wp:posOffset>614045</wp:posOffset>
                  </wp:positionH>
                  <wp:positionV relativeFrom="page">
                    <wp:posOffset>285115</wp:posOffset>
                  </wp:positionV>
                  <wp:extent cx="417830" cy="1260475"/>
                  <wp:effectExtent l="0" t="0" r="1270" b="15875"/>
                  <wp:wrapNone/>
                  <wp:docPr id="3" name="图片 3" descr="发射器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发射器X"/>
                          <pic:cNvPicPr>
                            <a:picLocks noChangeAspect="1"/>
                          </pic:cNvPicPr>
                        </pic:nvPicPr>
                        <pic:blipFill>
                          <a:blip r:embed="rId9"/>
                          <a:stretch>
                            <a:fillRect/>
                          </a:stretch>
                        </pic:blipFill>
                        <pic:spPr>
                          <a:xfrm>
                            <a:off x="0" y="0"/>
                            <a:ext cx="417830" cy="1260475"/>
                          </a:xfrm>
                          <a:prstGeom prst="rect">
                            <a:avLst/>
                          </a:prstGeom>
                        </pic:spPr>
                      </pic:pic>
                    </a:graphicData>
                  </a:graphic>
                </wp:anchor>
              </w:drawing>
            </w: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t>发射器X</w:t>
            </w:r>
          </w:p>
        </w:tc>
        <w:tc>
          <w:tcPr>
            <w:tcW w:w="2840" w:type="dxa"/>
            <w:vAlign w:val="bottom"/>
          </w:tcPr>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drawing>
                <wp:anchor distT="0" distB="0" distL="114300" distR="114300" simplePos="0" relativeHeight="251670528" behindDoc="0" locked="0" layoutInCell="1" allowOverlap="1">
                  <wp:simplePos x="0" y="0"/>
                  <wp:positionH relativeFrom="column">
                    <wp:posOffset>645160</wp:posOffset>
                  </wp:positionH>
                  <wp:positionV relativeFrom="page">
                    <wp:posOffset>294640</wp:posOffset>
                  </wp:positionV>
                  <wp:extent cx="408940" cy="1229360"/>
                  <wp:effectExtent l="0" t="0" r="10160" b="8890"/>
                  <wp:wrapNone/>
                  <wp:docPr id="7" name="图片 7" descr="发射器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发射器Y"/>
                          <pic:cNvPicPr>
                            <a:picLocks noChangeAspect="1"/>
                          </pic:cNvPicPr>
                        </pic:nvPicPr>
                        <pic:blipFill>
                          <a:blip r:embed="rId10"/>
                          <a:stretch>
                            <a:fillRect/>
                          </a:stretch>
                        </pic:blipFill>
                        <pic:spPr>
                          <a:xfrm>
                            <a:off x="0" y="0"/>
                            <a:ext cx="408940" cy="1229360"/>
                          </a:xfrm>
                          <a:prstGeom prst="rect">
                            <a:avLst/>
                          </a:prstGeom>
                        </pic:spPr>
                      </pic:pic>
                    </a:graphicData>
                  </a:graphic>
                </wp:anchor>
              </w:drawing>
            </w: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t>发射器Y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5" w:hRule="atLeast"/>
        </w:trPr>
        <w:tc>
          <w:tcPr>
            <w:tcW w:w="2839" w:type="dxa"/>
            <w:vAlign w:val="bottom"/>
          </w:tcPr>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drawing>
                <wp:anchor distT="0" distB="0" distL="114300" distR="114300" simplePos="0" relativeHeight="251669504" behindDoc="0" locked="0" layoutInCell="1" allowOverlap="1">
                  <wp:simplePos x="0" y="0"/>
                  <wp:positionH relativeFrom="column">
                    <wp:posOffset>-2540</wp:posOffset>
                  </wp:positionH>
                  <wp:positionV relativeFrom="page">
                    <wp:posOffset>733425</wp:posOffset>
                  </wp:positionV>
                  <wp:extent cx="1689100" cy="278130"/>
                  <wp:effectExtent l="0" t="0" r="7620" b="6350"/>
                  <wp:wrapNone/>
                  <wp:docPr id="8" name="图片 8" descr="绝缘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绝缘杆"/>
                          <pic:cNvPicPr>
                            <a:picLocks noChangeAspect="1"/>
                          </pic:cNvPicPr>
                        </pic:nvPicPr>
                        <pic:blipFill>
                          <a:blip r:embed="rId11"/>
                          <a:stretch>
                            <a:fillRect/>
                          </a:stretch>
                        </pic:blipFill>
                        <pic:spPr>
                          <a:xfrm rot="16200000">
                            <a:off x="0" y="0"/>
                            <a:ext cx="1689100" cy="278130"/>
                          </a:xfrm>
                          <a:prstGeom prst="rect">
                            <a:avLst/>
                          </a:prstGeom>
                        </pic:spPr>
                      </pic:pic>
                    </a:graphicData>
                  </a:graphic>
                </wp:anchor>
              </w:drawing>
            </w: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t>绝缘杆</w:t>
            </w:r>
          </w:p>
        </w:tc>
        <w:tc>
          <w:tcPr>
            <w:tcW w:w="2841" w:type="dxa"/>
            <w:vAlign w:val="bottom"/>
          </w:tcPr>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drawing>
                <wp:anchor distT="0" distB="0" distL="114300" distR="114300" simplePos="0" relativeHeight="251668480" behindDoc="0" locked="0" layoutInCell="1" allowOverlap="1">
                  <wp:simplePos x="0" y="0"/>
                  <wp:positionH relativeFrom="column">
                    <wp:posOffset>601345</wp:posOffset>
                  </wp:positionH>
                  <wp:positionV relativeFrom="page">
                    <wp:posOffset>132080</wp:posOffset>
                  </wp:positionV>
                  <wp:extent cx="490220" cy="1460500"/>
                  <wp:effectExtent l="0" t="0" r="5080" b="6350"/>
                  <wp:wrapNone/>
                  <wp:docPr id="10" name="图片 10" descr="充电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充电器"/>
                          <pic:cNvPicPr>
                            <a:picLocks noChangeAspect="1"/>
                          </pic:cNvPicPr>
                        </pic:nvPicPr>
                        <pic:blipFill>
                          <a:blip r:embed="rId12"/>
                          <a:stretch>
                            <a:fillRect/>
                          </a:stretch>
                        </pic:blipFill>
                        <pic:spPr>
                          <a:xfrm>
                            <a:off x="0" y="0"/>
                            <a:ext cx="490220" cy="1460500"/>
                          </a:xfrm>
                          <a:prstGeom prst="rect">
                            <a:avLst/>
                          </a:prstGeom>
                        </pic:spPr>
                      </pic:pic>
                    </a:graphicData>
                  </a:graphic>
                </wp:anchor>
              </w:drawing>
            </w: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t>充电器</w:t>
            </w:r>
          </w:p>
        </w:tc>
        <w:tc>
          <w:tcPr>
            <w:tcW w:w="2840" w:type="dxa"/>
            <w:vAlign w:val="bottom"/>
          </w:tcPr>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drawing>
                <wp:anchor distT="0" distB="0" distL="114300" distR="114300" simplePos="0" relativeHeight="251667456" behindDoc="0" locked="0" layoutInCell="1" allowOverlap="1">
                  <wp:simplePos x="0" y="0"/>
                  <wp:positionH relativeFrom="column">
                    <wp:posOffset>438150</wp:posOffset>
                  </wp:positionH>
                  <wp:positionV relativeFrom="page">
                    <wp:posOffset>508635</wp:posOffset>
                  </wp:positionV>
                  <wp:extent cx="763905" cy="846455"/>
                  <wp:effectExtent l="0" t="0" r="17145" b="10795"/>
                  <wp:wrapNone/>
                  <wp:docPr id="9" name="图片 9" descr="C:\Users\Administrator\Desktop\配件盒.jpg配件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配件盒.jpg配件盒"/>
                          <pic:cNvPicPr>
                            <a:picLocks noChangeAspect="1"/>
                          </pic:cNvPicPr>
                        </pic:nvPicPr>
                        <pic:blipFill>
                          <a:blip r:embed="rId13"/>
                          <a:srcRect/>
                          <a:stretch>
                            <a:fillRect/>
                          </a:stretch>
                        </pic:blipFill>
                        <pic:spPr>
                          <a:xfrm>
                            <a:off x="0" y="0"/>
                            <a:ext cx="763905" cy="846455"/>
                          </a:xfrm>
                          <a:prstGeom prst="rect">
                            <a:avLst/>
                          </a:prstGeom>
                        </pic:spPr>
                      </pic:pic>
                    </a:graphicData>
                  </a:graphic>
                </wp:anchor>
              </w:drawing>
            </w: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p>
          <w:p>
            <w:pPr>
              <w:autoSpaceDE w:val="0"/>
              <w:autoSpaceDN w:val="0"/>
              <w:adjustRightInd w:val="0"/>
              <w:jc w:val="center"/>
              <w:rPr>
                <w:rFonts w:ascii="宋体" w:hAnsi="宋体" w:cs="宋体"/>
                <w:color w:val="000000"/>
                <w:kern w:val="0"/>
                <w:sz w:val="28"/>
                <w:szCs w:val="28"/>
              </w:rPr>
            </w:pPr>
            <w:r>
              <w:rPr>
                <w:rFonts w:hint="eastAsia" w:ascii="宋体" w:hAnsi="宋体" w:cs="宋体"/>
                <w:color w:val="000000"/>
                <w:kern w:val="0"/>
                <w:sz w:val="28"/>
                <w:szCs w:val="28"/>
              </w:rPr>
              <w:t>附件盒</w:t>
            </w:r>
          </w:p>
        </w:tc>
      </w:tr>
    </w:tbl>
    <w:p>
      <w:pPr>
        <w:autoSpaceDE w:val="0"/>
        <w:autoSpaceDN w:val="0"/>
        <w:adjustRightInd w:val="0"/>
        <w:jc w:val="left"/>
        <w:rPr>
          <w:rFonts w:ascii="宋体" w:hAnsi="宋体" w:cs="宋体"/>
          <w:b/>
          <w:kern w:val="0"/>
          <w:sz w:val="28"/>
          <w:szCs w:val="28"/>
        </w:rPr>
      </w:pPr>
      <w:r>
        <w:rPr>
          <w:rFonts w:hint="eastAsia" w:ascii="宋体" w:hAnsi="宋体" w:cs="宋体"/>
          <w:kern w:val="0"/>
          <w:sz w:val="28"/>
          <w:szCs w:val="28"/>
        </w:rPr>
        <w:t>2、仪器操作简介</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4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0" w:hRule="atLeast"/>
        </w:trPr>
        <w:tc>
          <w:tcPr>
            <w:tcW w:w="3936" w:type="dxa"/>
          </w:tcPr>
          <w:p>
            <w:pPr>
              <w:autoSpaceDE w:val="0"/>
              <w:autoSpaceDN w:val="0"/>
              <w:adjustRightInd w:val="0"/>
              <w:jc w:val="center"/>
              <w:rPr>
                <w:rFonts w:ascii="宋体" w:hAnsi="宋体" w:cs="宋体"/>
                <w:kern w:val="0"/>
                <w:sz w:val="24"/>
              </w:rPr>
            </w:pPr>
            <w:r>
              <w:rPr>
                <w:rFonts w:hint="eastAsia" w:ascii="宋体" w:hAnsi="宋体" w:cs="宋体"/>
                <w:kern w:val="0"/>
                <w:sz w:val="24"/>
              </w:rPr>
              <w:drawing>
                <wp:inline distT="0" distB="0" distL="114300" distR="114300">
                  <wp:extent cx="1459230" cy="2800350"/>
                  <wp:effectExtent l="0" t="0" r="7620" b="0"/>
                  <wp:docPr id="5" name="图片 5" descr="G:\图片\自营产品\新版普通核相仪\近程核对相位界面.jpg近程核对相位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图片\自营产品\新版普通核相仪\近程核对相位界面.jpg近程核对相位界面"/>
                          <pic:cNvPicPr>
                            <a:picLocks noChangeAspect="1"/>
                          </pic:cNvPicPr>
                        </pic:nvPicPr>
                        <pic:blipFill>
                          <a:blip r:embed="rId8"/>
                          <a:srcRect/>
                          <a:stretch>
                            <a:fillRect/>
                          </a:stretch>
                        </pic:blipFill>
                        <pic:spPr>
                          <a:xfrm>
                            <a:off x="0" y="0"/>
                            <a:ext cx="1459230" cy="2800350"/>
                          </a:xfrm>
                          <a:prstGeom prst="rect">
                            <a:avLst/>
                          </a:prstGeom>
                        </pic:spPr>
                      </pic:pic>
                    </a:graphicData>
                  </a:graphic>
                </wp:inline>
              </w:drawing>
            </w:r>
          </w:p>
          <w:p>
            <w:pPr>
              <w:autoSpaceDE w:val="0"/>
              <w:autoSpaceDN w:val="0"/>
              <w:adjustRightInd w:val="0"/>
              <w:jc w:val="left"/>
              <w:rPr>
                <w:rFonts w:ascii="宋体" w:hAnsi="宋体" w:cs="宋体"/>
                <w:kern w:val="0"/>
                <w:sz w:val="24"/>
              </w:rPr>
            </w:pP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rPr>
              <w:t xml:space="preserve">    （接收主机）</w:t>
            </w:r>
          </w:p>
          <w:p>
            <w:pPr>
              <w:tabs>
                <w:tab w:val="right" w:pos="3675"/>
              </w:tabs>
              <w:autoSpaceDE w:val="0"/>
              <w:autoSpaceDN w:val="0"/>
              <w:adjustRightInd w:val="0"/>
              <w:jc w:val="left"/>
              <w:rPr>
                <w:rFonts w:ascii="宋体" w:hAnsi="宋体" w:cs="宋体"/>
                <w:kern w:val="0"/>
                <w:sz w:val="24"/>
              </w:rPr>
            </w:pPr>
            <w:r>
              <w:rPr>
                <w:rFonts w:ascii="宋体" w:hAnsi="宋体" w:cs="宋体"/>
                <w:kern w:val="0"/>
                <w:sz w:val="24"/>
              </w:rPr>
              <w:pict>
                <v:shape id="Straight Connector 72" o:spid="_x0000_s1038" o:spt="32" type="#_x0000_t32" style="position:absolute;left:0pt;margin-left:1.5pt;margin-top:13.95pt;height:0.05pt;width:60.95pt;z-index:251664384;mso-width-relative:page;mso-height-relative:page;" o:connectortype="straight" filled="f" o:preferrelative="t" coordsize="21600,21600">
                  <v:path arrowok="t"/>
                  <v:fill on="f" focussize="0,0"/>
                  <v:stroke miterlimit="2" endarrow="block"/>
                  <v:imagedata o:title=""/>
                  <o:lock v:ext="edit"/>
                </v:shape>
              </w:pict>
            </w:r>
            <w:r>
              <w:rPr>
                <w:rFonts w:ascii="宋体" w:hAnsi="宋体" w:cs="宋体"/>
                <w:kern w:val="0"/>
                <w:sz w:val="24"/>
              </w:rPr>
              <w:pict>
                <v:shape id="Straight Connector 73" o:spid="_x0000_s1039" o:spt="32" type="#_x0000_t32" style="position:absolute;left:0pt;flip:x;margin-left:126.2pt;margin-top:14.7pt;height:0.05pt;width:57.15pt;z-index:251665408;mso-width-relative:page;mso-height-relative:page;" o:connectortype="straight" filled="f" o:preferrelative="t" coordsize="21600,21600">
                  <v:path arrowok="t"/>
                  <v:fill on="f" focussize="0,0"/>
                  <v:stroke miterlimit="2" endarrow="block"/>
                  <v:imagedata o:title=""/>
                  <o:lock v:ext="edit"/>
                </v:shape>
              </w:pict>
            </w:r>
            <w:r>
              <w:rPr>
                <w:rFonts w:ascii="宋体" w:hAnsi="宋体" w:cs="宋体"/>
                <w:kern w:val="0"/>
                <w:sz w:val="24"/>
              </w:rPr>
              <w:pict>
                <v:shape id="Flowchart: Connector 70" o:spid="_x0000_s1040" o:spt="120" type="#_x0000_t120" style="position:absolute;left:0pt;margin-left:115.2pt;margin-top:10.7pt;height:7.15pt;width:7.15pt;z-index:251662336;mso-width-relative:page;mso-height-relative:page;" o:preferrelative="t" coordsize="21600,21600">
                  <v:path/>
                  <v:fill focussize="0,0"/>
                  <v:stroke miterlimit="2"/>
                  <v:imagedata o:title=""/>
                  <o:lock v:ext="edit"/>
                </v:shape>
              </w:pict>
            </w:r>
            <w:r>
              <w:rPr>
                <w:rFonts w:ascii="宋体" w:hAnsi="宋体" w:cs="宋体"/>
                <w:kern w:val="0"/>
                <w:sz w:val="24"/>
              </w:rPr>
              <w:pict>
                <v:shape id="Flowchart: Connector 71" o:spid="_x0000_s1041" o:spt="120" type="#_x0000_t120" style="position:absolute;left:0pt;margin-left:67.45pt;margin-top:8.6pt;height:10.5pt;width:11.25pt;z-index:251663360;mso-width-relative:page;mso-height-relative:page;" o:preferrelative="t" coordsize="21600,21600">
                  <v:path/>
                  <v:fill focussize="0,0"/>
                  <v:stroke miterlimit="2"/>
                  <v:imagedata o:title=""/>
                  <o:lock v:ext="edit"/>
                </v:shape>
              </w:pict>
            </w:r>
            <w:r>
              <w:rPr>
                <w:rFonts w:ascii="宋体" w:hAnsi="宋体" w:cs="宋体"/>
                <w:kern w:val="0"/>
                <w:sz w:val="24"/>
              </w:rPr>
              <w:pict>
                <v:shape id="Flowchart: Connector 69" o:spid="_x0000_s1042" o:spt="120" type="#_x0000_t120" style="position:absolute;left:0pt;margin-left:63.6pt;margin-top:4.25pt;height:18.75pt;width:18.75pt;z-index:251661312;mso-width-relative:page;mso-height-relative:page;" o:preferrelative="t" coordsize="21600,21600">
                  <v:path/>
                  <v:fill focussize="0,0"/>
                  <v:stroke miterlimit="2"/>
                  <v:imagedata o:title=""/>
                  <o:lock v:ext="edit"/>
                </v:shape>
              </w:pict>
            </w:r>
            <w:r>
              <w:rPr>
                <w:rFonts w:ascii="宋体" w:hAnsi="宋体" w:cs="宋体"/>
                <w:kern w:val="0"/>
                <w:sz w:val="24"/>
              </w:rPr>
              <w:pict>
                <v:shape id="Flowchart: Alternate Process 68" o:spid="_x0000_s1043" o:spt="176" type="#_x0000_t176" style="position:absolute;left:0pt;margin-left:53.25pt;margin-top:1.85pt;height:25.5pt;width:87pt;z-index:251660288;mso-width-relative:page;mso-height-relative:page;" o:preferrelative="t" coordsize="21600,21600">
                  <v:path/>
                  <v:fill focussize="0,0"/>
                  <v:stroke miterlimit="2"/>
                  <v:imagedata o:title=""/>
                  <o:lock v:ext="edit"/>
                </v:shape>
              </w:pict>
            </w:r>
            <w:r>
              <w:rPr>
                <w:rFonts w:hint="eastAsia" w:ascii="宋体" w:hAnsi="宋体" w:cs="宋体"/>
                <w:kern w:val="0"/>
                <w:sz w:val="24"/>
              </w:rPr>
              <w:t xml:space="preserve"> 充电孔                 喇叭孔</w:t>
            </w:r>
            <w:r>
              <w:rPr>
                <w:rFonts w:ascii="宋体" w:hAnsi="宋体" w:cs="宋体"/>
                <w:kern w:val="0"/>
                <w:sz w:val="24"/>
              </w:rPr>
              <w:tab/>
            </w:r>
          </w:p>
          <w:p>
            <w:pPr>
              <w:autoSpaceDE w:val="0"/>
              <w:autoSpaceDN w:val="0"/>
              <w:adjustRightInd w:val="0"/>
              <w:jc w:val="left"/>
              <w:rPr>
                <w:rFonts w:ascii="宋体" w:hAnsi="宋体" w:cs="宋体"/>
                <w:kern w:val="0"/>
                <w:sz w:val="24"/>
              </w:rPr>
            </w:pPr>
          </w:p>
        </w:tc>
        <w:tc>
          <w:tcPr>
            <w:tcW w:w="4586" w:type="dxa"/>
          </w:tcPr>
          <w:p>
            <w:pPr>
              <w:autoSpaceDE w:val="0"/>
              <w:autoSpaceDN w:val="0"/>
              <w:adjustRightInd w:val="0"/>
              <w:jc w:val="left"/>
              <w:rPr>
                <w:rFonts w:ascii="宋体" w:hAnsi="宋体" w:cs="宋体"/>
                <w:b/>
                <w:kern w:val="0"/>
                <w:sz w:val="24"/>
              </w:rPr>
            </w:pPr>
            <w:r>
              <w:rPr>
                <w:rFonts w:hint="eastAsia" w:ascii="宋体" w:hAnsi="宋体" w:cs="宋体"/>
                <w:b/>
                <w:kern w:val="0"/>
                <w:sz w:val="24"/>
              </w:rPr>
              <w:t>指示灯：</w:t>
            </w:r>
          </w:p>
          <w:p>
            <w:pPr>
              <w:pStyle w:val="12"/>
              <w:numPr>
                <w:ilvl w:val="0"/>
                <w:numId w:val="1"/>
              </w:numPr>
              <w:autoSpaceDE w:val="0"/>
              <w:autoSpaceDN w:val="0"/>
              <w:adjustRightInd w:val="0"/>
              <w:ind w:firstLineChars="0"/>
              <w:jc w:val="left"/>
              <w:rPr>
                <w:rFonts w:ascii="宋体" w:hAnsi="宋体" w:cs="宋体"/>
                <w:kern w:val="0"/>
                <w:sz w:val="24"/>
              </w:rPr>
            </w:pPr>
            <w:r>
              <w:rPr>
                <w:rFonts w:hint="eastAsia" w:ascii="宋体" w:hAnsi="宋体" w:cs="宋体"/>
                <w:kern w:val="0"/>
                <w:sz w:val="24"/>
              </w:rPr>
              <w:t>异相红灯亮：两线路异相。</w:t>
            </w:r>
          </w:p>
          <w:p>
            <w:pPr>
              <w:pStyle w:val="12"/>
              <w:numPr>
                <w:ilvl w:val="0"/>
                <w:numId w:val="1"/>
              </w:numPr>
              <w:autoSpaceDE w:val="0"/>
              <w:autoSpaceDN w:val="0"/>
              <w:adjustRightInd w:val="0"/>
              <w:ind w:firstLineChars="0"/>
              <w:jc w:val="left"/>
              <w:rPr>
                <w:rFonts w:ascii="宋体" w:hAnsi="宋体" w:cs="宋体"/>
                <w:kern w:val="0"/>
                <w:sz w:val="24"/>
              </w:rPr>
            </w:pPr>
            <w:r>
              <w:rPr>
                <w:rFonts w:hint="eastAsia" w:ascii="宋体" w:hAnsi="宋体" w:cs="宋体"/>
                <w:kern w:val="0"/>
                <w:sz w:val="24"/>
              </w:rPr>
              <w:t>同相绿灯亮：两线路同相。</w:t>
            </w:r>
          </w:p>
          <w:p>
            <w:pPr>
              <w:pStyle w:val="12"/>
              <w:numPr>
                <w:ilvl w:val="0"/>
                <w:numId w:val="1"/>
              </w:numPr>
              <w:autoSpaceDE w:val="0"/>
              <w:autoSpaceDN w:val="0"/>
              <w:adjustRightInd w:val="0"/>
              <w:ind w:firstLineChars="0"/>
              <w:jc w:val="left"/>
              <w:rPr>
                <w:rFonts w:ascii="宋体" w:hAnsi="宋体" w:cs="宋体"/>
                <w:kern w:val="0"/>
                <w:sz w:val="24"/>
              </w:rPr>
            </w:pPr>
            <w:r>
              <w:rPr>
                <w:rFonts w:hint="eastAsia" w:ascii="宋体" w:hAnsi="宋体" w:cs="宋体"/>
                <w:kern w:val="0"/>
                <w:sz w:val="24"/>
              </w:rPr>
              <w:t>充电红灯亮：正在充电。</w:t>
            </w:r>
          </w:p>
          <w:p>
            <w:pPr>
              <w:pStyle w:val="12"/>
              <w:numPr>
                <w:ilvl w:val="0"/>
                <w:numId w:val="1"/>
              </w:numPr>
              <w:autoSpaceDE w:val="0"/>
              <w:autoSpaceDN w:val="0"/>
              <w:adjustRightInd w:val="0"/>
              <w:ind w:firstLineChars="0"/>
              <w:jc w:val="left"/>
              <w:rPr>
                <w:rFonts w:ascii="宋体" w:hAnsi="宋体" w:cs="宋体"/>
                <w:kern w:val="0"/>
                <w:sz w:val="24"/>
              </w:rPr>
            </w:pPr>
            <w:r>
              <w:rPr>
                <w:rFonts w:hint="eastAsia" w:ascii="宋体" w:hAnsi="宋体" w:cs="宋体"/>
                <w:kern w:val="0"/>
                <w:sz w:val="24"/>
              </w:rPr>
              <w:t>充电绿灯亮：电已充满。</w:t>
            </w:r>
          </w:p>
          <w:p>
            <w:pPr>
              <w:autoSpaceDE w:val="0"/>
              <w:autoSpaceDN w:val="0"/>
              <w:adjustRightInd w:val="0"/>
              <w:jc w:val="left"/>
              <w:rPr>
                <w:rFonts w:ascii="宋体" w:hAnsi="宋体" w:cs="宋体"/>
                <w:b/>
                <w:kern w:val="0"/>
                <w:sz w:val="24"/>
              </w:rPr>
            </w:pPr>
          </w:p>
          <w:p>
            <w:pPr>
              <w:autoSpaceDE w:val="0"/>
              <w:autoSpaceDN w:val="0"/>
              <w:adjustRightInd w:val="0"/>
              <w:jc w:val="left"/>
              <w:rPr>
                <w:rFonts w:ascii="宋体" w:hAnsi="宋体" w:cs="宋体"/>
                <w:b/>
                <w:kern w:val="0"/>
                <w:sz w:val="24"/>
              </w:rPr>
            </w:pPr>
            <w:r>
              <w:rPr>
                <w:rFonts w:hint="eastAsia" w:ascii="宋体" w:hAnsi="宋体" w:cs="宋体"/>
                <w:b/>
                <w:kern w:val="0"/>
                <w:sz w:val="24"/>
              </w:rPr>
              <w:t>按键：</w:t>
            </w:r>
          </w:p>
          <w:p>
            <w:pPr>
              <w:autoSpaceDE w:val="0"/>
              <w:autoSpaceDN w:val="0"/>
              <w:adjustRightInd w:val="0"/>
              <w:jc w:val="left"/>
              <w:rPr>
                <w:rFonts w:ascii="宋体" w:hAnsi="宋体" w:cs="宋体"/>
                <w:b/>
                <w:kern w:val="0"/>
                <w:sz w:val="24"/>
              </w:rPr>
            </w:pPr>
            <w:r>
              <w:rPr>
                <w:rFonts w:hint="eastAsia" w:ascii="宋体" w:hAnsi="宋体" w:cs="宋体"/>
                <w:kern w:val="0"/>
                <w:sz w:val="24"/>
              </w:rPr>
              <w:t>1)长按开机或关机。</w:t>
            </w:r>
          </w:p>
          <w:p>
            <w:pPr>
              <w:pStyle w:val="12"/>
              <w:autoSpaceDE w:val="0"/>
              <w:autoSpaceDN w:val="0"/>
              <w:adjustRightInd w:val="0"/>
              <w:ind w:firstLine="0" w:firstLineChars="0"/>
              <w:jc w:val="left"/>
              <w:rPr>
                <w:rFonts w:ascii="宋体" w:hAnsi="宋体" w:cs="宋体"/>
                <w:kern w:val="0"/>
                <w:sz w:val="24"/>
              </w:rPr>
            </w:pPr>
            <w:r>
              <w:rPr>
                <w:rFonts w:hint="eastAsia" w:ascii="宋体" w:hAnsi="宋体" w:cs="宋体"/>
                <w:kern w:val="0"/>
                <w:sz w:val="24"/>
              </w:rPr>
              <w:t>2)短按近程测量模式、相序测量模式和远程测量模式切换。</w:t>
            </w:r>
          </w:p>
          <w:p>
            <w:pPr>
              <w:autoSpaceDE w:val="0"/>
              <w:autoSpaceDN w:val="0"/>
              <w:adjustRightInd w:val="0"/>
              <w:jc w:val="left"/>
              <w:rPr>
                <w:rFonts w:ascii="宋体" w:hAnsi="宋体" w:cs="宋体"/>
                <w:kern w:val="0"/>
                <w:sz w:val="24"/>
              </w:rPr>
            </w:pPr>
          </w:p>
          <w:p>
            <w:pPr>
              <w:autoSpaceDE w:val="0"/>
              <w:autoSpaceDN w:val="0"/>
              <w:adjustRightInd w:val="0"/>
              <w:ind w:left="723" w:hanging="723" w:hangingChars="300"/>
              <w:jc w:val="left"/>
              <w:rPr>
                <w:rFonts w:ascii="宋体" w:hAnsi="宋体" w:cs="宋体"/>
                <w:kern w:val="0"/>
                <w:sz w:val="24"/>
              </w:rPr>
            </w:pPr>
            <w:r>
              <w:rPr>
                <w:rFonts w:hint="eastAsia" w:ascii="宋体" w:hAnsi="宋体" w:cs="宋体"/>
                <w:b/>
                <w:kern w:val="0"/>
                <w:sz w:val="24"/>
              </w:rPr>
              <w:t>补充</w:t>
            </w:r>
            <w:r>
              <w:rPr>
                <w:rFonts w:hint="eastAsia" w:ascii="宋体" w:hAnsi="宋体" w:cs="宋体"/>
                <w:kern w:val="0"/>
                <w:sz w:val="24"/>
              </w:rPr>
              <w:t>：</w:t>
            </w:r>
          </w:p>
          <w:p>
            <w:pPr>
              <w:autoSpaceDE w:val="0"/>
              <w:autoSpaceDN w:val="0"/>
              <w:adjustRightInd w:val="0"/>
              <w:ind w:left="720" w:hanging="720" w:hangingChars="300"/>
              <w:jc w:val="left"/>
              <w:rPr>
                <w:rFonts w:ascii="宋体" w:hAnsi="宋体" w:cs="宋体"/>
                <w:kern w:val="0"/>
                <w:sz w:val="24"/>
              </w:rPr>
            </w:pPr>
            <w:r>
              <w:rPr>
                <w:rFonts w:hint="eastAsia" w:ascii="宋体" w:hAnsi="宋体" w:cs="宋体"/>
                <w:kern w:val="0"/>
                <w:sz w:val="24"/>
              </w:rPr>
              <w:t>1)右上角有电量指示；</w:t>
            </w:r>
          </w:p>
          <w:p>
            <w:pPr>
              <w:autoSpaceDE w:val="0"/>
              <w:autoSpaceDN w:val="0"/>
              <w:adjustRightInd w:val="0"/>
              <w:ind w:left="720" w:hanging="720" w:hangingChars="300"/>
              <w:jc w:val="left"/>
              <w:rPr>
                <w:rFonts w:ascii="宋体" w:hAnsi="宋体" w:cs="宋体"/>
                <w:kern w:val="0"/>
                <w:sz w:val="24"/>
              </w:rPr>
            </w:pPr>
            <w:r>
              <w:rPr>
                <w:rFonts w:hint="eastAsia" w:ascii="宋体" w:hAnsi="宋体" w:cs="宋体"/>
                <w:kern w:val="0"/>
                <w:sz w:val="24"/>
              </w:rPr>
              <w:t>2)最下端有充电接口插孔。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9" w:hRule="atLeast"/>
        </w:trPr>
        <w:tc>
          <w:tcPr>
            <w:tcW w:w="3936" w:type="dxa"/>
          </w:tcPr>
          <w:p>
            <w:pPr>
              <w:autoSpaceDE w:val="0"/>
              <w:autoSpaceDN w:val="0"/>
              <w:adjustRightInd w:val="0"/>
              <w:jc w:val="center"/>
              <w:rPr>
                <w:rFonts w:ascii="宋体" w:hAnsi="宋体" w:cs="宋体"/>
                <w:kern w:val="0"/>
                <w:sz w:val="24"/>
              </w:rPr>
            </w:pPr>
            <w:r>
              <w:rPr>
                <w:rFonts w:ascii="宋体" w:hAnsi="宋体" w:cs="宋体"/>
                <w:kern w:val="0"/>
                <w:sz w:val="24"/>
              </w:rPr>
              <w:pict>
                <v:shape id="_x0000_i1025" o:spt="75" type="#_x0000_t75" style="height:199.5pt;width:107.25pt;" filled="f" o:preferrelative="t" stroked="f" coordsize="21600,21600">
                  <v:path/>
                  <v:fill on="f" focussize="0,0"/>
                  <v:stroke on="f" joinstyle="miter"/>
                  <v:imagedata r:id="rId14" o:title="图片1"/>
                  <o:lock v:ext="edit" aspectratio="t"/>
                  <w10:wrap type="none"/>
                  <w10:anchorlock/>
                </v:shape>
              </w:pict>
            </w:r>
            <w:r>
              <w:rPr>
                <w:rFonts w:ascii="宋体" w:hAnsi="宋体" w:cs="宋体"/>
                <w:kern w:val="0"/>
                <w:sz w:val="24"/>
              </w:rPr>
              <w:pict>
                <v:shape id="_x0000_i1026" o:spt="75" type="#_x0000_t75" style="height:106.5pt;width:106.5pt;" filled="f" o:preferrelative="t" stroked="f" coordsize="21600,21600">
                  <v:path/>
                  <v:fill on="f" focussize="0,0"/>
                  <v:stroke on="f" joinstyle="miter"/>
                  <v:imagedata r:id="rId15" o:title="张赛飞底座"/>
                  <o:lock v:ext="edit" aspectratio="t"/>
                  <w10:wrap type="none"/>
                  <w10:anchorlock/>
                </v:shape>
              </w:pict>
            </w:r>
          </w:p>
          <w:p>
            <w:pPr>
              <w:autoSpaceDE w:val="0"/>
              <w:autoSpaceDN w:val="0"/>
              <w:adjustRightInd w:val="0"/>
              <w:ind w:firstLine="720" w:firstLineChars="300"/>
              <w:jc w:val="left"/>
              <w:rPr>
                <w:rFonts w:ascii="宋体" w:hAnsi="宋体" w:cs="宋体"/>
                <w:kern w:val="0"/>
                <w:sz w:val="24"/>
              </w:rPr>
            </w:pPr>
            <w:r>
              <w:rPr>
                <w:rFonts w:hint="eastAsia" w:ascii="宋体" w:hAnsi="宋体" w:cs="宋体"/>
                <w:kern w:val="0"/>
                <w:sz w:val="24"/>
              </w:rPr>
              <w:t xml:space="preserve">     （发射器）</w:t>
            </w:r>
          </w:p>
        </w:tc>
        <w:tc>
          <w:tcPr>
            <w:tcW w:w="4586" w:type="dxa"/>
          </w:tcPr>
          <w:p>
            <w:pPr>
              <w:autoSpaceDE w:val="0"/>
              <w:autoSpaceDN w:val="0"/>
              <w:adjustRightInd w:val="0"/>
              <w:jc w:val="left"/>
              <w:rPr>
                <w:rFonts w:ascii="宋体" w:hAnsi="宋体" w:cs="宋体"/>
                <w:b/>
                <w:kern w:val="0"/>
                <w:sz w:val="24"/>
              </w:rPr>
            </w:pPr>
            <w:r>
              <w:rPr>
                <w:rFonts w:hint="eastAsia" w:ascii="宋体" w:hAnsi="宋体" w:cs="宋体"/>
                <w:b/>
                <w:kern w:val="0"/>
                <w:sz w:val="24"/>
              </w:rPr>
              <w:t>指示灯：</w:t>
            </w:r>
          </w:p>
          <w:p>
            <w:pPr>
              <w:autoSpaceDE w:val="0"/>
              <w:autoSpaceDN w:val="0"/>
              <w:adjustRightInd w:val="0"/>
              <w:jc w:val="left"/>
              <w:rPr>
                <w:rFonts w:ascii="宋体" w:hAnsi="宋体" w:cs="宋体"/>
                <w:kern w:val="0"/>
                <w:sz w:val="24"/>
              </w:rPr>
            </w:pPr>
            <w:r>
              <w:rPr>
                <w:rFonts w:hint="eastAsia" w:ascii="宋体" w:hAnsi="宋体" w:cs="宋体"/>
                <w:kern w:val="0"/>
                <w:sz w:val="24"/>
              </w:rPr>
              <w:t>测量时:红灯和绿灯交替闪烁。</w:t>
            </w:r>
          </w:p>
          <w:p>
            <w:pPr>
              <w:autoSpaceDE w:val="0"/>
              <w:autoSpaceDN w:val="0"/>
              <w:adjustRightInd w:val="0"/>
              <w:jc w:val="left"/>
              <w:rPr>
                <w:rFonts w:ascii="宋体" w:hAnsi="宋体" w:cs="宋体"/>
                <w:kern w:val="0"/>
                <w:sz w:val="24"/>
              </w:rPr>
            </w:pPr>
            <w:r>
              <w:rPr>
                <w:rFonts w:hint="eastAsia" w:ascii="宋体" w:hAnsi="宋体" w:cs="宋体"/>
                <w:kern w:val="0"/>
                <w:sz w:val="24"/>
              </w:rPr>
              <w:t>充电时:红灯亮正在充电，绿灯亮已充满。</w:t>
            </w:r>
          </w:p>
          <w:p>
            <w:pPr>
              <w:autoSpaceDE w:val="0"/>
              <w:autoSpaceDN w:val="0"/>
              <w:adjustRightInd w:val="0"/>
              <w:jc w:val="left"/>
              <w:rPr>
                <w:rFonts w:ascii="宋体" w:hAnsi="宋体" w:cs="宋体"/>
                <w:b/>
                <w:kern w:val="0"/>
                <w:sz w:val="24"/>
              </w:rPr>
            </w:pPr>
          </w:p>
          <w:p>
            <w:pPr>
              <w:autoSpaceDE w:val="0"/>
              <w:autoSpaceDN w:val="0"/>
              <w:adjustRightInd w:val="0"/>
              <w:jc w:val="left"/>
              <w:rPr>
                <w:rFonts w:ascii="宋体" w:hAnsi="宋体" w:cs="宋体"/>
                <w:b/>
                <w:kern w:val="0"/>
                <w:sz w:val="24"/>
              </w:rPr>
            </w:pPr>
            <w:r>
              <w:rPr>
                <w:rFonts w:hint="eastAsia" w:ascii="宋体" w:hAnsi="宋体" w:cs="宋体"/>
                <w:b/>
                <w:kern w:val="0"/>
                <w:sz w:val="24"/>
              </w:rPr>
              <w:t>蜂鸣器：</w:t>
            </w:r>
          </w:p>
          <w:p>
            <w:pPr>
              <w:autoSpaceDE w:val="0"/>
              <w:autoSpaceDN w:val="0"/>
              <w:adjustRightInd w:val="0"/>
              <w:jc w:val="left"/>
              <w:rPr>
                <w:rFonts w:ascii="宋体" w:hAnsi="宋体" w:cs="宋体"/>
                <w:kern w:val="0"/>
                <w:sz w:val="24"/>
              </w:rPr>
            </w:pPr>
            <w:r>
              <w:rPr>
                <w:rFonts w:hint="eastAsia" w:ascii="宋体" w:hAnsi="宋体" w:cs="宋体"/>
                <w:kern w:val="0"/>
                <w:sz w:val="24"/>
              </w:rPr>
              <w:t>接触到高压带电线路则蜂鸣器鸣叫，表示线路带电。</w:t>
            </w:r>
          </w:p>
          <w:p>
            <w:pPr>
              <w:autoSpaceDE w:val="0"/>
              <w:autoSpaceDN w:val="0"/>
              <w:adjustRightInd w:val="0"/>
              <w:jc w:val="left"/>
              <w:rPr>
                <w:rFonts w:ascii="宋体" w:hAnsi="宋体" w:cs="宋体"/>
                <w:kern w:val="0"/>
                <w:sz w:val="24"/>
              </w:rPr>
            </w:pPr>
            <w:r>
              <w:rPr>
                <w:rFonts w:hint="eastAsia" w:ascii="宋体" w:hAnsi="宋体" w:cs="宋体"/>
                <w:bCs/>
                <w:kern w:val="0"/>
                <w:sz w:val="24"/>
              </w:rPr>
              <w:t>启动时蜂鸣3声表示电量充足，蜂鸣2声表示电量可用，一直蜂鸣表示电量不足，请及时充电。</w:t>
            </w:r>
          </w:p>
          <w:p>
            <w:pPr>
              <w:autoSpaceDE w:val="0"/>
              <w:autoSpaceDN w:val="0"/>
              <w:adjustRightInd w:val="0"/>
              <w:jc w:val="left"/>
              <w:rPr>
                <w:rFonts w:ascii="宋体" w:hAnsi="宋体" w:cs="宋体"/>
                <w:b/>
                <w:kern w:val="0"/>
                <w:sz w:val="24"/>
              </w:rPr>
            </w:pPr>
          </w:p>
          <w:p>
            <w:pPr>
              <w:autoSpaceDE w:val="0"/>
              <w:autoSpaceDN w:val="0"/>
              <w:adjustRightInd w:val="0"/>
              <w:jc w:val="left"/>
              <w:rPr>
                <w:rFonts w:ascii="宋体" w:hAnsi="宋体" w:cs="宋体"/>
                <w:b/>
                <w:kern w:val="0"/>
                <w:sz w:val="24"/>
              </w:rPr>
            </w:pPr>
            <w:r>
              <w:rPr>
                <w:rFonts w:hint="eastAsia" w:ascii="宋体" w:hAnsi="宋体" w:cs="宋体"/>
                <w:b/>
                <w:kern w:val="0"/>
                <w:sz w:val="24"/>
              </w:rPr>
              <w:t>安装螺孔：</w:t>
            </w:r>
          </w:p>
          <w:p>
            <w:pPr>
              <w:autoSpaceDE w:val="0"/>
              <w:autoSpaceDN w:val="0"/>
              <w:adjustRightInd w:val="0"/>
              <w:jc w:val="left"/>
              <w:rPr>
                <w:rFonts w:ascii="宋体" w:hAnsi="宋体" w:cs="宋体"/>
                <w:kern w:val="0"/>
                <w:sz w:val="24"/>
              </w:rPr>
            </w:pPr>
            <w:r>
              <w:rPr>
                <w:rFonts w:hint="eastAsia" w:ascii="宋体" w:hAnsi="宋体" w:cs="宋体"/>
                <w:kern w:val="0"/>
                <w:sz w:val="24"/>
              </w:rPr>
              <w:t>与伸缩绝缘杆相连。</w:t>
            </w:r>
          </w:p>
          <w:p>
            <w:pPr>
              <w:autoSpaceDE w:val="0"/>
              <w:autoSpaceDN w:val="0"/>
              <w:adjustRightInd w:val="0"/>
              <w:jc w:val="left"/>
              <w:rPr>
                <w:rFonts w:ascii="宋体" w:hAnsi="宋体" w:cs="宋体"/>
                <w:b/>
                <w:kern w:val="0"/>
                <w:sz w:val="24"/>
              </w:rPr>
            </w:pPr>
          </w:p>
          <w:p>
            <w:pPr>
              <w:autoSpaceDE w:val="0"/>
              <w:autoSpaceDN w:val="0"/>
              <w:adjustRightInd w:val="0"/>
              <w:jc w:val="left"/>
              <w:rPr>
                <w:rFonts w:ascii="宋体" w:hAnsi="宋体" w:cs="宋体"/>
                <w:b/>
                <w:kern w:val="0"/>
                <w:sz w:val="24"/>
              </w:rPr>
            </w:pPr>
            <w:r>
              <w:rPr>
                <w:rFonts w:hint="eastAsia" w:ascii="宋体" w:hAnsi="宋体" w:cs="宋体"/>
                <w:b/>
                <w:kern w:val="0"/>
                <w:sz w:val="24"/>
              </w:rPr>
              <w:t>充电孔：</w:t>
            </w:r>
          </w:p>
          <w:p>
            <w:pPr>
              <w:autoSpaceDE w:val="0"/>
              <w:autoSpaceDN w:val="0"/>
              <w:adjustRightInd w:val="0"/>
              <w:jc w:val="left"/>
              <w:rPr>
                <w:rFonts w:ascii="宋体" w:hAnsi="宋体" w:cs="宋体"/>
                <w:kern w:val="0"/>
                <w:sz w:val="24"/>
              </w:rPr>
            </w:pPr>
            <w:r>
              <w:rPr>
                <w:rFonts w:hint="eastAsia" w:ascii="宋体" w:hAnsi="宋体" w:cs="宋体"/>
                <w:kern w:val="0"/>
                <w:sz w:val="24"/>
              </w:rPr>
              <w:t>充电时：连接充电器。</w:t>
            </w:r>
          </w:p>
          <w:p>
            <w:pPr>
              <w:autoSpaceDE w:val="0"/>
              <w:autoSpaceDN w:val="0"/>
              <w:adjustRightInd w:val="0"/>
              <w:jc w:val="left"/>
              <w:rPr>
                <w:rFonts w:ascii="宋体" w:hAnsi="宋体" w:cs="宋体"/>
                <w:kern w:val="0"/>
                <w:sz w:val="24"/>
              </w:rPr>
            </w:pPr>
            <w:r>
              <w:rPr>
                <w:rFonts w:hint="eastAsia" w:ascii="宋体" w:hAnsi="宋体" w:cs="宋体"/>
                <w:kern w:val="0"/>
                <w:sz w:val="24"/>
              </w:rPr>
              <w:t>自检时：连接测试线接地端。</w:t>
            </w:r>
          </w:p>
          <w:p>
            <w:pPr>
              <w:autoSpaceDE w:val="0"/>
              <w:autoSpaceDN w:val="0"/>
              <w:adjustRightInd w:val="0"/>
              <w:jc w:val="left"/>
              <w:rPr>
                <w:rFonts w:ascii="宋体" w:hAnsi="宋体" w:cs="宋体"/>
                <w:kern w:val="0"/>
                <w:sz w:val="24"/>
              </w:rPr>
            </w:pPr>
            <w:r>
              <w:rPr>
                <w:rFonts w:hint="eastAsia" w:ascii="宋体" w:hAnsi="宋体" w:cs="宋体"/>
                <w:kern w:val="0"/>
                <w:sz w:val="24"/>
              </w:rPr>
              <w:t>低压检测时：连接接地线。</w:t>
            </w:r>
          </w:p>
        </w:tc>
      </w:tr>
    </w:tbl>
    <w:p>
      <w:pPr>
        <w:autoSpaceDE w:val="0"/>
        <w:autoSpaceDN w:val="0"/>
        <w:adjustRightInd w:val="0"/>
        <w:jc w:val="left"/>
        <w:rPr>
          <w:rFonts w:ascii="宋体" w:hAnsi="宋体" w:cs="宋体"/>
          <w:b/>
          <w:color w:val="000000"/>
          <w:kern w:val="0"/>
          <w:sz w:val="28"/>
          <w:szCs w:val="28"/>
        </w:rPr>
      </w:pPr>
    </w:p>
    <w:p>
      <w:pPr>
        <w:pStyle w:val="12"/>
        <w:autoSpaceDE w:val="0"/>
        <w:autoSpaceDN w:val="0"/>
        <w:adjustRightInd w:val="0"/>
        <w:ind w:firstLine="0" w:firstLineChars="0"/>
        <w:jc w:val="left"/>
        <w:rPr>
          <w:rFonts w:ascii="宋体" w:hAnsi="宋体" w:cs="宋体"/>
          <w:color w:val="000000"/>
          <w:kern w:val="0"/>
          <w:sz w:val="28"/>
          <w:szCs w:val="28"/>
        </w:rPr>
      </w:pPr>
      <w:r>
        <w:rPr>
          <w:rFonts w:hint="eastAsia" w:ascii="宋体" w:hAnsi="宋体" w:cs="宋体"/>
          <w:color w:val="000000"/>
          <w:kern w:val="0"/>
          <w:sz w:val="28"/>
          <w:szCs w:val="28"/>
        </w:rPr>
        <w:t>2、仪器自检方法</w:t>
      </w:r>
    </w:p>
    <w:p>
      <w:pPr>
        <w:autoSpaceDE w:val="0"/>
        <w:autoSpaceDN w:val="0"/>
        <w:adjustRightInd w:val="0"/>
        <w:ind w:firstLine="560" w:firstLineChars="200"/>
        <w:jc w:val="left"/>
        <w:rPr>
          <w:rFonts w:ascii="宋体" w:hAnsi="宋体" w:cs="宋体"/>
          <w:color w:val="FF0000"/>
          <w:kern w:val="0"/>
          <w:sz w:val="28"/>
          <w:szCs w:val="28"/>
        </w:rPr>
      </w:pPr>
      <w:r>
        <w:rPr>
          <w:rFonts w:hint="eastAsia" w:ascii="宋体" w:hAnsi="宋体" w:cs="宋体"/>
          <w:color w:val="000000"/>
          <w:kern w:val="0"/>
          <w:sz w:val="28"/>
          <w:szCs w:val="28"/>
        </w:rPr>
        <w:t>按下图将发射器连接自检测试线，发射器启动，蜂鸣器鸣叫，红绿两指示灯交替闪烁。接收主机开机，在近程核相模式下显示对应发射器信息，则发射器与主机工作均正常。</w:t>
      </w:r>
    </w:p>
    <w:p>
      <w:pPr>
        <w:autoSpaceDE w:val="0"/>
        <w:autoSpaceDN w:val="0"/>
        <w:adjustRightInd w:val="0"/>
        <w:jc w:val="center"/>
        <w:rPr>
          <w:rFonts w:ascii="宋体" w:hAnsi="宋体" w:cs="宋体"/>
          <w:color w:val="000000"/>
          <w:kern w:val="0"/>
          <w:sz w:val="28"/>
          <w:szCs w:val="28"/>
        </w:rPr>
      </w:pPr>
      <w:r>
        <w:rPr>
          <w:rFonts w:ascii="宋体" w:hAnsi="宋体" w:cs="宋体"/>
          <w:color w:val="FF0000"/>
          <w:kern w:val="0"/>
          <w:sz w:val="28"/>
          <w:szCs w:val="28"/>
        </w:rPr>
        <w:drawing>
          <wp:inline distT="0" distB="0" distL="114300" distR="114300">
            <wp:extent cx="4253230" cy="1485900"/>
            <wp:effectExtent l="0" t="0" r="13970" b="0"/>
            <wp:docPr id="13" name="图片 4" descr="G:\图片\自营产品\新版普通核相仪\近程核对相位自检.jpg近程核对相位自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G:\图片\自营产品\新版普通核相仪\近程核对相位自检.jpg近程核对相位自检"/>
                    <pic:cNvPicPr>
                      <a:picLocks noChangeAspect="1"/>
                    </pic:cNvPicPr>
                  </pic:nvPicPr>
                  <pic:blipFill>
                    <a:blip r:embed="rId16"/>
                    <a:srcRect/>
                    <a:stretch>
                      <a:fillRect/>
                    </a:stretch>
                  </pic:blipFill>
                  <pic:spPr>
                    <a:xfrm>
                      <a:off x="0" y="0"/>
                      <a:ext cx="4253230" cy="1485900"/>
                    </a:xfrm>
                    <a:prstGeom prst="rect">
                      <a:avLst/>
                    </a:prstGeom>
                    <a:noFill/>
                    <a:ln w="9525">
                      <a:noFill/>
                    </a:ln>
                  </pic:spPr>
                </pic:pic>
              </a:graphicData>
            </a:graphic>
          </wp:inline>
        </w:drawing>
      </w:r>
    </w:p>
    <w:p>
      <w:pPr>
        <w:autoSpaceDE w:val="0"/>
        <w:autoSpaceDN w:val="0"/>
        <w:adjustRightInd w:val="0"/>
        <w:jc w:val="left"/>
        <w:rPr>
          <w:rFonts w:ascii="宋体" w:hAnsi="宋体" w:cs="宋体"/>
          <w:color w:val="000000"/>
          <w:kern w:val="0"/>
          <w:sz w:val="28"/>
          <w:szCs w:val="28"/>
        </w:rPr>
      </w:pPr>
      <w:r>
        <w:rPr>
          <w:rFonts w:hint="eastAsia" w:ascii="宋体" w:hAnsi="宋体" w:cs="宋体"/>
          <w:color w:val="000000"/>
          <w:kern w:val="0"/>
          <w:sz w:val="28"/>
          <w:szCs w:val="28"/>
        </w:rPr>
        <w:t>提示：</w:t>
      </w:r>
    </w:p>
    <w:p>
      <w:pPr>
        <w:numPr>
          <w:ilvl w:val="0"/>
          <w:numId w:val="2"/>
        </w:numPr>
        <w:autoSpaceDE w:val="0"/>
        <w:autoSpaceDN w:val="0"/>
        <w:adjustRightInd w:val="0"/>
        <w:jc w:val="left"/>
        <w:rPr>
          <w:kern w:val="0"/>
          <w:sz w:val="28"/>
          <w:szCs w:val="28"/>
        </w:rPr>
      </w:pPr>
      <w:r>
        <w:rPr>
          <w:rFonts w:hint="eastAsia" w:ascii="宋体" w:hAnsi="宋体" w:cs="宋体"/>
          <w:color w:val="000000"/>
          <w:kern w:val="0"/>
          <w:sz w:val="28"/>
          <w:szCs w:val="28"/>
        </w:rPr>
        <w:t>自检时两发射器与接收主机的距离大于0.5米为宜。当距离小于0.2米时，可能只连接了1个发射器而主机显示2个发射器信息。此现象为正常现象，不影响仪器使用。当2个发射器都接电时，仪器显示不受短距离影响。</w:t>
      </w:r>
    </w:p>
    <w:p>
      <w:pPr>
        <w:numPr>
          <w:ilvl w:val="0"/>
          <w:numId w:val="2"/>
        </w:numPr>
        <w:autoSpaceDE w:val="0"/>
        <w:autoSpaceDN w:val="0"/>
        <w:adjustRightInd w:val="0"/>
        <w:jc w:val="left"/>
        <w:rPr>
          <w:kern w:val="0"/>
          <w:sz w:val="28"/>
          <w:szCs w:val="28"/>
        </w:rPr>
      </w:pPr>
      <w:r>
        <w:rPr>
          <w:rFonts w:hint="eastAsia"/>
          <w:kern w:val="0"/>
          <w:sz w:val="28"/>
          <w:szCs w:val="28"/>
        </w:rPr>
        <w:t>自检测试线内部串有2M电阻，测试时人接触鳄鱼夹不会触电。</w:t>
      </w:r>
    </w:p>
    <w:p>
      <w:pPr>
        <w:numPr>
          <w:ilvl w:val="0"/>
          <w:numId w:val="2"/>
        </w:numPr>
        <w:autoSpaceDE w:val="0"/>
        <w:autoSpaceDN w:val="0"/>
        <w:adjustRightInd w:val="0"/>
        <w:jc w:val="left"/>
        <w:rPr>
          <w:rFonts w:ascii="宋体" w:hAnsi="宋体" w:cs="宋体"/>
          <w:color w:val="000000"/>
          <w:kern w:val="0"/>
          <w:sz w:val="28"/>
          <w:szCs w:val="28"/>
        </w:rPr>
      </w:pPr>
      <w:r>
        <w:rPr>
          <w:rFonts w:hint="eastAsia"/>
          <w:kern w:val="0"/>
          <w:sz w:val="28"/>
          <w:szCs w:val="28"/>
        </w:rPr>
        <w:t>自检测试相位差为180度左右时，将任一自检线插头反转，则相位差变为0度左右，反之亦然。</w:t>
      </w:r>
    </w:p>
    <w:p>
      <w:pPr>
        <w:pStyle w:val="2"/>
      </w:pPr>
      <w:bookmarkStart w:id="5" w:name="_Toc3384"/>
      <w:r>
        <w:rPr>
          <w:rFonts w:hint="eastAsia"/>
        </w:rPr>
        <w:t>六、近程核相</w:t>
      </w:r>
      <w:bookmarkEnd w:id="5"/>
    </w:p>
    <w:p>
      <w:pPr>
        <w:numPr>
          <w:ilvl w:val="0"/>
          <w:numId w:val="3"/>
        </w:numPr>
        <w:jc w:val="left"/>
        <w:rPr>
          <w:kern w:val="0"/>
          <w:sz w:val="28"/>
          <w:szCs w:val="28"/>
        </w:rPr>
      </w:pPr>
      <w:r>
        <w:rPr>
          <w:rFonts w:hint="eastAsia"/>
          <w:kern w:val="0"/>
          <w:sz w:val="28"/>
          <w:szCs w:val="28"/>
        </w:rPr>
        <w:t>高压输电线路核相（高压核相）</w:t>
      </w:r>
    </w:p>
    <w:p>
      <w:pPr>
        <w:ind w:firstLine="560" w:firstLineChars="200"/>
        <w:jc w:val="left"/>
        <w:rPr>
          <w:rFonts w:ascii="宋体" w:hAnsi="宋体" w:cs="宋体"/>
          <w:color w:val="000000"/>
          <w:kern w:val="0"/>
          <w:sz w:val="28"/>
          <w:szCs w:val="28"/>
        </w:rPr>
      </w:pPr>
      <w:r>
        <w:rPr>
          <w:rFonts w:hint="eastAsia" w:ascii="宋体" w:hAnsi="宋体" w:cs="宋体"/>
          <w:color w:val="000000"/>
          <w:kern w:val="0"/>
          <w:sz w:val="28"/>
          <w:szCs w:val="28"/>
        </w:rPr>
        <w:t>将X和Y发射器连接绝缘杆，同时挂接在高压线路上，接收主机开机选择近程核相模式，即可显示并播报核相结果。原理图如下：</w:t>
      </w:r>
    </w:p>
    <w:p>
      <w:pPr>
        <w:jc w:val="center"/>
        <w:rPr>
          <w:rFonts w:ascii="宋体" w:hAnsi="宋体" w:cs="宋体"/>
          <w:color w:val="000000"/>
          <w:kern w:val="0"/>
          <w:sz w:val="24"/>
        </w:rPr>
      </w:pPr>
      <w:r>
        <w:rPr>
          <w:rFonts w:ascii="宋体" w:hAnsi="宋体" w:cs="宋体"/>
          <w:color w:val="000000"/>
          <w:kern w:val="0"/>
          <w:sz w:val="24"/>
        </w:rPr>
        <w:drawing>
          <wp:inline distT="0" distB="0" distL="0" distR="0">
            <wp:extent cx="4307205" cy="2623185"/>
            <wp:effectExtent l="0" t="0" r="17145" b="5715"/>
            <wp:docPr id="14" name="图片 14" descr="G:\图片\自营产品\新版普通核相仪\近程核对相位 (2).jpg近程核对相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图片\自营产品\新版普通核相仪\近程核对相位 (2).jpg近程核对相位 (2)"/>
                    <pic:cNvPicPr>
                      <a:picLocks noChangeAspect="1" noChangeArrowheads="1"/>
                    </pic:cNvPicPr>
                  </pic:nvPicPr>
                  <pic:blipFill>
                    <a:blip r:embed="rId17"/>
                    <a:srcRect/>
                    <a:stretch>
                      <a:fillRect/>
                    </a:stretch>
                  </pic:blipFill>
                  <pic:spPr>
                    <a:xfrm>
                      <a:off x="0" y="0"/>
                      <a:ext cx="4307205" cy="2623185"/>
                    </a:xfrm>
                    <a:prstGeom prst="rect">
                      <a:avLst/>
                    </a:prstGeom>
                    <a:noFill/>
                    <a:ln w="9525">
                      <a:noFill/>
                      <a:miter lim="800000"/>
                      <a:headEnd/>
                      <a:tailEnd/>
                    </a:ln>
                  </pic:spPr>
                </pic:pic>
              </a:graphicData>
            </a:graphic>
          </wp:inline>
        </w:drawing>
      </w:r>
    </w:p>
    <w:p>
      <w:pPr>
        <w:numPr>
          <w:ilvl w:val="0"/>
          <w:numId w:val="3"/>
        </w:numPr>
        <w:jc w:val="left"/>
        <w:rPr>
          <w:kern w:val="0"/>
          <w:sz w:val="28"/>
          <w:szCs w:val="28"/>
        </w:rPr>
      </w:pPr>
      <w:r>
        <w:rPr>
          <w:rFonts w:hint="eastAsia"/>
          <w:kern w:val="0"/>
          <w:sz w:val="28"/>
          <w:szCs w:val="28"/>
        </w:rPr>
        <w:t>高压开关柜带电显示器核相（低压核相）</w:t>
      </w:r>
    </w:p>
    <w:p>
      <w:pPr>
        <w:ind w:firstLine="560" w:firstLineChars="200"/>
        <w:jc w:val="left"/>
        <w:rPr>
          <w:rFonts w:ascii="宋体" w:hAnsi="宋体" w:cs="宋体"/>
          <w:color w:val="000000"/>
          <w:kern w:val="0"/>
          <w:sz w:val="28"/>
          <w:szCs w:val="28"/>
        </w:rPr>
      </w:pPr>
      <w:bookmarkStart w:id="6" w:name="_Hlk75261612"/>
      <w:r>
        <w:rPr>
          <w:rFonts w:hint="eastAsia" w:ascii="宋体" w:hAnsi="宋体" w:cs="宋体"/>
          <w:color w:val="000000"/>
          <w:kern w:val="0"/>
          <w:sz w:val="28"/>
          <w:szCs w:val="28"/>
        </w:rPr>
        <w:t>将X和</w:t>
      </w:r>
      <w:r>
        <w:rPr>
          <w:rFonts w:ascii="宋体" w:hAnsi="宋体" w:cs="宋体"/>
          <w:color w:val="000000"/>
          <w:kern w:val="0"/>
          <w:sz w:val="28"/>
          <w:szCs w:val="28"/>
        </w:rPr>
        <w:t>Y</w:t>
      </w:r>
      <w:r>
        <w:rPr>
          <w:rFonts w:hint="eastAsia" w:ascii="宋体" w:hAnsi="宋体" w:cs="宋体"/>
          <w:color w:val="000000"/>
          <w:kern w:val="0"/>
          <w:sz w:val="28"/>
          <w:szCs w:val="28"/>
        </w:rPr>
        <w:t>环网柜专用低压发射器（尖头端子），插入带电显示器</w:t>
      </w:r>
      <w:bookmarkEnd w:id="6"/>
      <w:r>
        <w:rPr>
          <w:rFonts w:hint="eastAsia" w:ascii="宋体" w:hAnsi="宋体" w:cs="宋体"/>
          <w:color w:val="000000"/>
          <w:kern w:val="0"/>
          <w:sz w:val="28"/>
          <w:szCs w:val="28"/>
        </w:rPr>
        <w:t>，再将接地线DC端插入发射器接地孔（也是充电孔），鳄鱼夹接地，接收主机开机选择近程核相模式，即可进行测量。发射器使用方法如下图：</w:t>
      </w:r>
    </w:p>
    <w:p>
      <w:pPr>
        <w:jc w:val="center"/>
        <w:rPr>
          <w:rFonts w:ascii="宋体" w:hAnsi="宋体" w:cs="宋体"/>
          <w:color w:val="000000"/>
          <w:kern w:val="0"/>
          <w:sz w:val="28"/>
          <w:szCs w:val="28"/>
        </w:rPr>
      </w:pPr>
      <w:r>
        <w:rPr>
          <w:rFonts w:ascii="宋体" w:hAnsi="宋体" w:cs="宋体"/>
          <w:color w:val="000000"/>
          <w:kern w:val="0"/>
          <w:sz w:val="28"/>
          <w:szCs w:val="28"/>
        </w:rPr>
        <w:drawing>
          <wp:inline distT="0" distB="0" distL="0" distR="0">
            <wp:extent cx="3258185" cy="2729865"/>
            <wp:effectExtent l="0" t="0" r="18415" b="13335"/>
            <wp:docPr id="15" name="图片 15" descr="接带电显示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接带电显示器"/>
                    <pic:cNvPicPr>
                      <a:picLocks noChangeAspect="1" noChangeArrowheads="1"/>
                    </pic:cNvPicPr>
                  </pic:nvPicPr>
                  <pic:blipFill>
                    <a:blip r:embed="rId18" cstate="print"/>
                    <a:srcRect/>
                    <a:stretch>
                      <a:fillRect/>
                    </a:stretch>
                  </pic:blipFill>
                  <pic:spPr>
                    <a:xfrm>
                      <a:off x="0" y="0"/>
                      <a:ext cx="3258185" cy="2729865"/>
                    </a:xfrm>
                    <a:prstGeom prst="rect">
                      <a:avLst/>
                    </a:prstGeom>
                    <a:noFill/>
                    <a:ln w="9525">
                      <a:noFill/>
                      <a:miter lim="800000"/>
                      <a:headEnd/>
                      <a:tailEnd/>
                    </a:ln>
                  </pic:spPr>
                </pic:pic>
              </a:graphicData>
            </a:graphic>
          </wp:inline>
        </w:drawing>
      </w:r>
    </w:p>
    <w:p>
      <w:pPr>
        <w:ind w:firstLine="560" w:firstLineChars="200"/>
        <w:jc w:val="left"/>
        <w:rPr>
          <w:rFonts w:ascii="宋体" w:hAnsi="宋体" w:cs="宋体"/>
          <w:color w:val="000000"/>
          <w:kern w:val="0"/>
          <w:sz w:val="28"/>
          <w:szCs w:val="28"/>
        </w:rPr>
      </w:pPr>
      <w:r>
        <w:rPr>
          <w:rFonts w:hint="eastAsia"/>
          <w:kern w:val="0"/>
          <w:sz w:val="28"/>
          <w:szCs w:val="28"/>
        </w:rPr>
        <w:t>提示：</w:t>
      </w:r>
      <w:r>
        <w:rPr>
          <w:rFonts w:hint="eastAsia" w:ascii="宋体" w:hAnsi="宋体"/>
          <w:kern w:val="0"/>
          <w:sz w:val="28"/>
          <w:szCs w:val="28"/>
        </w:rPr>
        <w:t>由于带电显示器的主要作用是显示开关柜是否带电，并非标准的核相点，且不同厂家、不同时期、不同标准的带电显示器会产生不同程度的移相问题，且带电显示器</w:t>
      </w:r>
      <w:r>
        <w:rPr>
          <w:rFonts w:hint="eastAsia" w:ascii="宋体" w:hAnsi="宋体" w:cs="宋体"/>
          <w:color w:val="000000"/>
          <w:kern w:val="0"/>
          <w:sz w:val="28"/>
          <w:szCs w:val="28"/>
        </w:rPr>
        <w:t>L1、L2、L3与母线的对应关系不一定正确，若核相结果异常则应在一次线路上进行核相。</w:t>
      </w:r>
    </w:p>
    <w:p>
      <w:pPr>
        <w:pStyle w:val="2"/>
        <w:rPr>
          <w:kern w:val="0"/>
        </w:rPr>
      </w:pPr>
      <w:bookmarkStart w:id="7" w:name="_Toc21051"/>
      <w:bookmarkStart w:id="8" w:name="_Toc437358674"/>
      <w:r>
        <w:rPr>
          <w:rFonts w:hint="eastAsia"/>
          <w:kern w:val="0"/>
        </w:rPr>
        <w:t>七、结果判断与分析</w:t>
      </w:r>
      <w:bookmarkEnd w:id="7"/>
      <w:bookmarkEnd w:id="8"/>
    </w:p>
    <w:p>
      <w:pPr>
        <w:autoSpaceDE w:val="0"/>
        <w:autoSpaceDN w:val="0"/>
        <w:adjustRightInd w:val="0"/>
        <w:ind w:firstLine="420"/>
        <w:jc w:val="left"/>
        <w:rPr>
          <w:rFonts w:ascii="宋体" w:hAnsi="宋体" w:cs="宋体"/>
          <w:kern w:val="0"/>
          <w:sz w:val="28"/>
          <w:szCs w:val="28"/>
        </w:rPr>
      </w:pPr>
      <w:bookmarkStart w:id="9" w:name="_Hlk75264149"/>
      <w:r>
        <w:rPr>
          <w:rFonts w:hint="eastAsia" w:ascii="宋体" w:hAnsi="宋体" w:cs="宋体"/>
          <w:color w:val="000000"/>
          <w:kern w:val="0"/>
          <w:sz w:val="28"/>
          <w:szCs w:val="28"/>
        </w:rPr>
        <w:t>结果判断采用国标A级标准，同异相以30°为界。相位差</w:t>
      </w:r>
      <w:r>
        <w:rPr>
          <w:rFonts w:hint="eastAsia" w:ascii="宋体" w:hAnsi="宋体" w:cs="宋体"/>
          <w:kern w:val="0"/>
          <w:sz w:val="28"/>
          <w:szCs w:val="28"/>
        </w:rPr>
        <w:t>≥±30</w:t>
      </w:r>
      <w:r>
        <w:rPr>
          <w:rFonts w:hint="eastAsia" w:ascii="宋体" w:hAnsi="宋体" w:cs="宋体"/>
          <w:color w:val="000000"/>
          <w:kern w:val="0"/>
          <w:sz w:val="28"/>
          <w:szCs w:val="28"/>
        </w:rPr>
        <w:t>°</w:t>
      </w:r>
      <w:r>
        <w:rPr>
          <w:rFonts w:hint="eastAsia" w:ascii="宋体" w:hAnsi="宋体" w:cs="宋体"/>
          <w:kern w:val="0"/>
          <w:sz w:val="28"/>
          <w:szCs w:val="28"/>
        </w:rPr>
        <w:t>时为异相，语音提示“异相”，屏幕显示“异相”，异相指示灯亮。</w:t>
      </w:r>
      <w:r>
        <w:rPr>
          <w:rFonts w:hint="eastAsia" w:ascii="宋体" w:hAnsi="宋体" w:cs="宋体"/>
          <w:color w:val="000000"/>
          <w:kern w:val="0"/>
          <w:sz w:val="28"/>
          <w:szCs w:val="28"/>
        </w:rPr>
        <w:t>相位差</w:t>
      </w:r>
      <w:r>
        <w:rPr>
          <w:rFonts w:hint="eastAsia" w:ascii="宋体" w:hAnsi="宋体" w:cs="宋体"/>
          <w:kern w:val="0"/>
          <w:sz w:val="28"/>
          <w:szCs w:val="28"/>
        </w:rPr>
        <w:t>&lt;±30</w:t>
      </w:r>
      <w:r>
        <w:rPr>
          <w:rFonts w:hint="eastAsia" w:ascii="宋体" w:hAnsi="宋体" w:cs="宋体"/>
          <w:color w:val="000000"/>
          <w:kern w:val="0"/>
          <w:sz w:val="28"/>
          <w:szCs w:val="28"/>
        </w:rPr>
        <w:t>°</w:t>
      </w:r>
      <w:r>
        <w:rPr>
          <w:rFonts w:hint="eastAsia" w:ascii="宋体" w:hAnsi="宋体" w:cs="宋体"/>
          <w:kern w:val="0"/>
          <w:sz w:val="28"/>
          <w:szCs w:val="28"/>
        </w:rPr>
        <w:t>为同相，语音 提示“同相”，屏幕显示“同相”，同相指示灯亮。所有相位差结果以X为参照，度数为Y超前于X的相位，例：X</w:t>
      </w:r>
      <w:r>
        <w:rPr>
          <w:rFonts w:ascii="宋体" w:hAnsi="宋体" w:cs="宋体"/>
          <w:kern w:val="0"/>
          <w:sz w:val="28"/>
          <w:szCs w:val="28"/>
        </w:rPr>
        <w:t>=0</w:t>
      </w:r>
      <w:r>
        <w:rPr>
          <w:rFonts w:hint="eastAsia" w:ascii="宋体" w:hAnsi="宋体" w:cs="宋体"/>
          <w:color w:val="000000"/>
          <w:kern w:val="0"/>
          <w:sz w:val="28"/>
          <w:szCs w:val="28"/>
        </w:rPr>
        <w:t>°，Y</w:t>
      </w:r>
      <w:r>
        <w:rPr>
          <w:rFonts w:ascii="宋体" w:hAnsi="宋体" w:cs="宋体"/>
          <w:color w:val="000000"/>
          <w:kern w:val="0"/>
          <w:sz w:val="28"/>
          <w:szCs w:val="28"/>
        </w:rPr>
        <w:t>=240</w:t>
      </w:r>
      <w:r>
        <w:rPr>
          <w:rFonts w:hint="eastAsia" w:ascii="宋体" w:hAnsi="宋体" w:cs="宋体"/>
          <w:color w:val="000000"/>
          <w:kern w:val="0"/>
          <w:sz w:val="28"/>
          <w:szCs w:val="28"/>
        </w:rPr>
        <w:t>°，差值=</w:t>
      </w:r>
      <w:r>
        <w:rPr>
          <w:rFonts w:ascii="宋体" w:hAnsi="宋体" w:cs="宋体"/>
          <w:color w:val="000000"/>
          <w:kern w:val="0"/>
          <w:sz w:val="28"/>
          <w:szCs w:val="28"/>
        </w:rPr>
        <w:t>Y</w:t>
      </w:r>
      <w:r>
        <w:rPr>
          <w:rFonts w:hint="eastAsia" w:ascii="宋体" w:hAnsi="宋体" w:cs="宋体"/>
          <w:color w:val="000000"/>
          <w:kern w:val="0"/>
          <w:sz w:val="28"/>
          <w:szCs w:val="28"/>
        </w:rPr>
        <w:t>超前于X</w:t>
      </w:r>
      <w:r>
        <w:rPr>
          <w:rFonts w:ascii="宋体" w:hAnsi="宋体" w:cs="宋体"/>
          <w:color w:val="000000"/>
          <w:kern w:val="0"/>
          <w:sz w:val="28"/>
          <w:szCs w:val="28"/>
        </w:rPr>
        <w:t>120</w:t>
      </w:r>
      <w:r>
        <w:rPr>
          <w:rFonts w:hint="eastAsia" w:ascii="宋体" w:hAnsi="宋体" w:cs="宋体"/>
          <w:color w:val="000000"/>
          <w:kern w:val="0"/>
          <w:sz w:val="28"/>
          <w:szCs w:val="28"/>
        </w:rPr>
        <w:t>°</w:t>
      </w:r>
      <w:r>
        <w:rPr>
          <w:rFonts w:hint="eastAsia" w:ascii="宋体" w:hAnsi="宋体" w:cs="宋体"/>
          <w:kern w:val="0"/>
          <w:sz w:val="28"/>
          <w:szCs w:val="28"/>
        </w:rPr>
        <w:t>。</w:t>
      </w:r>
    </w:p>
    <w:bookmarkEnd w:id="9"/>
    <w:p>
      <w:pPr>
        <w:ind w:firstLine="560" w:firstLineChars="200"/>
        <w:rPr>
          <w:kern w:val="0"/>
          <w:sz w:val="28"/>
          <w:szCs w:val="28"/>
        </w:rPr>
      </w:pPr>
      <w:r>
        <w:rPr>
          <w:rFonts w:hint="eastAsia"/>
          <w:kern w:val="0"/>
          <w:sz w:val="28"/>
          <w:szCs w:val="28"/>
        </w:rPr>
        <w:t>提示：两线路频率不相同时，需要使用准同期并列装置控制发电机的频率相位，使发电机的相位和频率与主网一致后才可以并网送电。准同期与自同期并列操作见附录B。</w:t>
      </w:r>
    </w:p>
    <w:p>
      <w:pPr>
        <w:pStyle w:val="2"/>
        <w:rPr>
          <w:kern w:val="0"/>
        </w:rPr>
      </w:pPr>
      <w:bookmarkStart w:id="10" w:name="_Toc29681"/>
      <w:bookmarkStart w:id="11" w:name="_Toc437358676"/>
      <w:r>
        <w:rPr>
          <w:rFonts w:hint="eastAsia"/>
          <w:kern w:val="0"/>
        </w:rPr>
        <w:t>八、维护保养</w:t>
      </w:r>
      <w:bookmarkEnd w:id="10"/>
      <w:bookmarkEnd w:id="11"/>
    </w:p>
    <w:p>
      <w:pPr>
        <w:rPr>
          <w:rFonts w:ascii="宋体" w:hAnsi="宋体"/>
          <w:sz w:val="28"/>
          <w:szCs w:val="28"/>
        </w:rPr>
      </w:pPr>
      <w:r>
        <w:rPr>
          <w:rFonts w:hint="eastAsia" w:ascii="宋体" w:hAnsi="宋体"/>
          <w:sz w:val="28"/>
          <w:szCs w:val="28"/>
        </w:rPr>
        <w:t>1、长期不使用时请充满电后再存放，且最好每个月充一次电。</w:t>
      </w:r>
    </w:p>
    <w:p>
      <w:pPr>
        <w:rPr>
          <w:rFonts w:ascii="宋体" w:hAnsi="宋体"/>
          <w:sz w:val="28"/>
          <w:szCs w:val="28"/>
        </w:rPr>
      </w:pPr>
      <w:r>
        <w:rPr>
          <w:rFonts w:hint="eastAsia" w:ascii="宋体" w:hAnsi="宋体"/>
          <w:sz w:val="28"/>
          <w:szCs w:val="28"/>
        </w:rPr>
        <w:t>2、本产品不宜存放在潮湿、高温、多尘的环境中。</w:t>
      </w:r>
    </w:p>
    <w:p>
      <w:pPr>
        <w:rPr>
          <w:rFonts w:ascii="宋体" w:hAnsi="宋体"/>
          <w:sz w:val="28"/>
          <w:szCs w:val="28"/>
        </w:rPr>
      </w:pPr>
      <w:r>
        <w:rPr>
          <w:rFonts w:hint="eastAsia" w:ascii="宋体" w:hAnsi="宋体"/>
          <w:sz w:val="28"/>
          <w:szCs w:val="28"/>
        </w:rPr>
        <w:t>3、绝缘杆首次使用前应做耐压试验，且每年进行一次耐压试验。</w:t>
      </w:r>
    </w:p>
    <w:p>
      <w:pPr>
        <w:pStyle w:val="2"/>
        <w:rPr>
          <w:kern w:val="0"/>
        </w:rPr>
      </w:pPr>
      <w:bookmarkStart w:id="12" w:name="_Toc437358677"/>
      <w:bookmarkStart w:id="13" w:name="_Toc16832"/>
      <w:r>
        <w:rPr>
          <w:rFonts w:hint="eastAsia"/>
          <w:kern w:val="0"/>
        </w:rPr>
        <w:t>九、出厂配置清单</w:t>
      </w:r>
      <w:bookmarkEnd w:id="12"/>
      <w:bookmarkEnd w:id="13"/>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b/>
                <w:sz w:val="28"/>
                <w:szCs w:val="28"/>
              </w:rPr>
            </w:pPr>
            <w:r>
              <w:rPr>
                <w:rFonts w:hint="eastAsia" w:ascii="宋体" w:hAnsi="宋体"/>
                <w:b/>
                <w:sz w:val="28"/>
                <w:szCs w:val="28"/>
              </w:rPr>
              <w:t>物品名称</w:t>
            </w:r>
          </w:p>
        </w:tc>
        <w:tc>
          <w:tcPr>
            <w:tcW w:w="4261" w:type="dxa"/>
          </w:tcPr>
          <w:p>
            <w:pPr>
              <w:rPr>
                <w:rFonts w:ascii="宋体" w:hAnsi="宋体"/>
                <w:b/>
                <w:sz w:val="28"/>
                <w:szCs w:val="28"/>
              </w:rPr>
            </w:pPr>
            <w:r>
              <w:rPr>
                <w:rFonts w:hint="eastAsia" w:ascii="宋体" w:hAnsi="宋体"/>
                <w:b/>
                <w:sz w:val="28"/>
                <w:szCs w:val="2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塑料机箱</w:t>
            </w:r>
          </w:p>
        </w:tc>
        <w:tc>
          <w:tcPr>
            <w:tcW w:w="4261" w:type="dxa"/>
          </w:tcPr>
          <w:p>
            <w:pPr>
              <w:rPr>
                <w:rFonts w:ascii="宋体" w:hAnsi="宋体"/>
                <w:sz w:val="28"/>
                <w:szCs w:val="28"/>
              </w:rPr>
            </w:pPr>
            <w:r>
              <w:rPr>
                <w:rFonts w:hint="eastAsia" w:ascii="宋体" w:hAnsi="宋体"/>
                <w:sz w:val="28"/>
                <w:szCs w:val="28"/>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接收主机</w:t>
            </w:r>
          </w:p>
        </w:tc>
        <w:tc>
          <w:tcPr>
            <w:tcW w:w="4261" w:type="dxa"/>
          </w:tcPr>
          <w:p>
            <w:pPr>
              <w:rPr>
                <w:rFonts w:ascii="宋体" w:hAnsi="宋体"/>
                <w:sz w:val="28"/>
                <w:szCs w:val="28"/>
              </w:rPr>
            </w:pPr>
            <w:r>
              <w:rPr>
                <w:rFonts w:hint="eastAsia" w:ascii="宋体" w:hAnsi="宋体"/>
                <w:sz w:val="28"/>
                <w:szCs w:val="28"/>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X发射器</w:t>
            </w:r>
          </w:p>
        </w:tc>
        <w:tc>
          <w:tcPr>
            <w:tcW w:w="4261" w:type="dxa"/>
          </w:tcPr>
          <w:p>
            <w:pPr>
              <w:rPr>
                <w:rFonts w:ascii="宋体" w:hAnsi="宋体"/>
                <w:sz w:val="28"/>
                <w:szCs w:val="28"/>
              </w:rPr>
            </w:pPr>
            <w:r>
              <w:rPr>
                <w:rFonts w:hint="eastAsia" w:ascii="宋体" w:hAnsi="宋体"/>
                <w:sz w:val="28"/>
                <w:szCs w:val="28"/>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Y发射器</w:t>
            </w:r>
          </w:p>
        </w:tc>
        <w:tc>
          <w:tcPr>
            <w:tcW w:w="4261" w:type="dxa"/>
          </w:tcPr>
          <w:p>
            <w:pPr>
              <w:rPr>
                <w:rFonts w:ascii="宋体" w:hAnsi="宋体"/>
                <w:sz w:val="28"/>
                <w:szCs w:val="28"/>
              </w:rPr>
            </w:pPr>
            <w:r>
              <w:rPr>
                <w:rFonts w:hint="eastAsia" w:ascii="宋体" w:hAnsi="宋体"/>
                <w:sz w:val="28"/>
                <w:szCs w:val="28"/>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伸缩式绝缘杆(3米)</w:t>
            </w:r>
          </w:p>
        </w:tc>
        <w:tc>
          <w:tcPr>
            <w:tcW w:w="4261" w:type="dxa"/>
          </w:tcPr>
          <w:p>
            <w:pPr>
              <w:rPr>
                <w:rFonts w:ascii="宋体" w:hAnsi="宋体"/>
                <w:sz w:val="28"/>
                <w:szCs w:val="28"/>
              </w:rPr>
            </w:pPr>
            <w:r>
              <w:rPr>
                <w:rFonts w:hint="eastAsia" w:ascii="宋体" w:hAnsi="宋体"/>
                <w:sz w:val="28"/>
                <w:szCs w:val="28"/>
              </w:rPr>
              <w:t>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尖头端子</w:t>
            </w:r>
          </w:p>
        </w:tc>
        <w:tc>
          <w:tcPr>
            <w:tcW w:w="4261" w:type="dxa"/>
          </w:tcPr>
          <w:p>
            <w:pPr>
              <w:rPr>
                <w:rFonts w:ascii="宋体" w:hAnsi="宋体"/>
                <w:sz w:val="28"/>
                <w:szCs w:val="28"/>
              </w:rPr>
            </w:pPr>
            <w:r>
              <w:rPr>
                <w:rFonts w:hint="eastAsia" w:ascii="宋体" w:hAnsi="宋体"/>
                <w:sz w:val="28"/>
                <w:szCs w:val="28"/>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充电器(5V/1A)</w:t>
            </w:r>
          </w:p>
        </w:tc>
        <w:tc>
          <w:tcPr>
            <w:tcW w:w="4261" w:type="dxa"/>
          </w:tcPr>
          <w:p>
            <w:pPr>
              <w:rPr>
                <w:rFonts w:ascii="宋体" w:hAnsi="宋体"/>
                <w:sz w:val="28"/>
                <w:szCs w:val="28"/>
              </w:rPr>
            </w:pPr>
            <w:r>
              <w:rPr>
                <w:rFonts w:hint="eastAsia" w:ascii="宋体" w:hAnsi="宋体"/>
                <w:sz w:val="28"/>
                <w:szCs w:val="28"/>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自检测试线</w:t>
            </w:r>
          </w:p>
        </w:tc>
        <w:tc>
          <w:tcPr>
            <w:tcW w:w="4261" w:type="dxa"/>
          </w:tcPr>
          <w:p>
            <w:pPr>
              <w:rPr>
                <w:rFonts w:ascii="宋体" w:hAnsi="宋体"/>
                <w:sz w:val="28"/>
                <w:szCs w:val="28"/>
              </w:rPr>
            </w:pPr>
            <w:r>
              <w:rPr>
                <w:rFonts w:hint="eastAsia" w:ascii="宋体" w:hAnsi="宋体"/>
                <w:sz w:val="28"/>
                <w:szCs w:val="28"/>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接地线</w:t>
            </w:r>
          </w:p>
        </w:tc>
        <w:tc>
          <w:tcPr>
            <w:tcW w:w="4261" w:type="dxa"/>
          </w:tcPr>
          <w:p>
            <w:pPr>
              <w:rPr>
                <w:rFonts w:ascii="宋体" w:hAnsi="宋体"/>
                <w:sz w:val="28"/>
                <w:szCs w:val="28"/>
              </w:rPr>
            </w:pPr>
            <w:r>
              <w:rPr>
                <w:rFonts w:hint="eastAsia" w:ascii="宋体" w:hAnsi="宋体"/>
                <w:sz w:val="28"/>
                <w:szCs w:val="28"/>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说明书</w:t>
            </w:r>
          </w:p>
        </w:tc>
        <w:tc>
          <w:tcPr>
            <w:tcW w:w="4261" w:type="dxa"/>
          </w:tcPr>
          <w:p>
            <w:pPr>
              <w:rPr>
                <w:rFonts w:ascii="宋体" w:hAnsi="宋体"/>
                <w:sz w:val="28"/>
                <w:szCs w:val="28"/>
              </w:rPr>
            </w:pPr>
            <w:r>
              <w:rPr>
                <w:rFonts w:hint="eastAsia" w:ascii="宋体" w:hAnsi="宋体"/>
                <w:sz w:val="28"/>
                <w:szCs w:val="28"/>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出厂检验报告</w:t>
            </w:r>
          </w:p>
        </w:tc>
        <w:tc>
          <w:tcPr>
            <w:tcW w:w="4261" w:type="dxa"/>
          </w:tcPr>
          <w:p>
            <w:pPr>
              <w:rPr>
                <w:rFonts w:ascii="宋体" w:hAnsi="宋体"/>
                <w:sz w:val="28"/>
                <w:szCs w:val="28"/>
              </w:rPr>
            </w:pPr>
            <w:r>
              <w:rPr>
                <w:rFonts w:hint="eastAsia" w:ascii="宋体" w:hAnsi="宋体"/>
                <w:sz w:val="28"/>
                <w:szCs w:val="28"/>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rPr>
                <w:rFonts w:ascii="宋体" w:hAnsi="宋体"/>
                <w:sz w:val="28"/>
                <w:szCs w:val="28"/>
              </w:rPr>
            </w:pPr>
            <w:r>
              <w:rPr>
                <w:rFonts w:hint="eastAsia" w:ascii="宋体" w:hAnsi="宋体"/>
                <w:sz w:val="28"/>
                <w:szCs w:val="28"/>
              </w:rPr>
              <w:t>合格证</w:t>
            </w:r>
          </w:p>
        </w:tc>
        <w:tc>
          <w:tcPr>
            <w:tcW w:w="4261" w:type="dxa"/>
          </w:tcPr>
          <w:p>
            <w:pPr>
              <w:rPr>
                <w:rFonts w:ascii="宋体" w:hAnsi="宋体"/>
                <w:sz w:val="28"/>
                <w:szCs w:val="28"/>
              </w:rPr>
            </w:pPr>
            <w:r>
              <w:rPr>
                <w:rFonts w:hint="eastAsia" w:ascii="宋体" w:hAnsi="宋体"/>
                <w:sz w:val="28"/>
                <w:szCs w:val="28"/>
              </w:rPr>
              <w:t>1份</w:t>
            </w:r>
          </w:p>
        </w:tc>
      </w:tr>
    </w:tbl>
    <w:p>
      <w:pPr>
        <w:rPr>
          <w:kern w:val="0"/>
          <w:sz w:val="28"/>
          <w:szCs w:val="28"/>
        </w:rPr>
      </w:pPr>
    </w:p>
    <w:p>
      <w:pPr>
        <w:rPr>
          <w:kern w:val="0"/>
          <w:sz w:val="28"/>
          <w:szCs w:val="28"/>
        </w:rPr>
      </w:pPr>
      <w:r>
        <w:rPr>
          <w:rFonts w:hint="eastAsia"/>
          <w:kern w:val="0"/>
          <w:sz w:val="28"/>
          <w:szCs w:val="28"/>
        </w:rPr>
        <w:t>提示：</w:t>
      </w:r>
    </w:p>
    <w:p>
      <w:pPr>
        <w:pStyle w:val="12"/>
        <w:numPr>
          <w:ilvl w:val="0"/>
          <w:numId w:val="4"/>
        </w:numPr>
        <w:ind w:firstLineChars="0"/>
        <w:rPr>
          <w:kern w:val="0"/>
          <w:sz w:val="28"/>
          <w:szCs w:val="28"/>
        </w:rPr>
      </w:pPr>
      <w:r>
        <w:rPr>
          <w:rFonts w:hint="eastAsia"/>
          <w:kern w:val="0"/>
          <w:sz w:val="28"/>
          <w:szCs w:val="28"/>
        </w:rPr>
        <w:t>尖头端子为发射器头部弯钩的替换品。</w:t>
      </w:r>
    </w:p>
    <w:p>
      <w:pPr>
        <w:pStyle w:val="12"/>
        <w:numPr>
          <w:ilvl w:val="0"/>
          <w:numId w:val="4"/>
        </w:numPr>
        <w:ind w:firstLineChars="0"/>
        <w:rPr>
          <w:kern w:val="0"/>
          <w:sz w:val="28"/>
          <w:szCs w:val="28"/>
        </w:rPr>
      </w:pPr>
      <w:r>
        <w:rPr>
          <w:rFonts w:hint="eastAsia"/>
          <w:kern w:val="0"/>
          <w:sz w:val="28"/>
          <w:szCs w:val="28"/>
        </w:rPr>
        <w:t>自检测试线内部有电阻，市电自检时人接触鳄鱼夹不会触电。</w:t>
      </w:r>
    </w:p>
    <w:p>
      <w:pPr>
        <w:pStyle w:val="12"/>
        <w:numPr>
          <w:ilvl w:val="0"/>
          <w:numId w:val="4"/>
        </w:numPr>
        <w:ind w:firstLineChars="0"/>
        <w:rPr>
          <w:kern w:val="0"/>
          <w:sz w:val="28"/>
          <w:szCs w:val="28"/>
        </w:rPr>
      </w:pPr>
      <w:r>
        <w:rPr>
          <w:rFonts w:hint="eastAsia"/>
          <w:kern w:val="0"/>
          <w:sz w:val="28"/>
          <w:szCs w:val="28"/>
        </w:rPr>
        <w:t>接地线为直通导线，只用于低压</w:t>
      </w:r>
      <w:r>
        <w:rPr>
          <w:rFonts w:hint="eastAsia" w:ascii="宋体" w:hAnsi="宋体"/>
          <w:kern w:val="0"/>
          <w:sz w:val="28"/>
          <w:szCs w:val="28"/>
        </w:rPr>
        <w:t>（电压&lt;1kV）</w:t>
      </w:r>
      <w:r>
        <w:rPr>
          <w:rFonts w:hint="eastAsia"/>
          <w:kern w:val="0"/>
          <w:sz w:val="28"/>
          <w:szCs w:val="28"/>
        </w:rPr>
        <w:t>场合，高压时严禁使用。</w:t>
      </w:r>
    </w:p>
    <w:p>
      <w:pPr>
        <w:pStyle w:val="2"/>
        <w:rPr>
          <w:kern w:val="0"/>
        </w:rPr>
      </w:pPr>
      <w:bookmarkStart w:id="14" w:name="_Toc437358678"/>
      <w:bookmarkStart w:id="15" w:name="_Toc28654"/>
      <w:r>
        <w:rPr>
          <w:rFonts w:hint="eastAsia"/>
          <w:kern w:val="0"/>
        </w:rPr>
        <w:t>十、售后服务</w:t>
      </w:r>
      <w:bookmarkEnd w:id="14"/>
      <w:bookmarkEnd w:id="15"/>
    </w:p>
    <w:p>
      <w:pPr>
        <w:ind w:left="377" w:leftChars="1" w:hanging="375" w:hangingChars="134"/>
        <w:rPr>
          <w:sz w:val="28"/>
          <w:szCs w:val="28"/>
        </w:rPr>
      </w:pPr>
      <w:r>
        <w:rPr>
          <w:rFonts w:hint="eastAsia"/>
          <w:sz w:val="28"/>
          <w:szCs w:val="28"/>
        </w:rPr>
        <w:t>1、仪器自售出之日起一个月内，如有质量问题，免费更换新仪器。</w:t>
      </w:r>
    </w:p>
    <w:p>
      <w:pPr>
        <w:ind w:left="377" w:leftChars="1" w:hanging="375" w:hangingChars="134"/>
        <w:rPr>
          <w:sz w:val="28"/>
          <w:szCs w:val="28"/>
        </w:rPr>
      </w:pPr>
      <w:r>
        <w:rPr>
          <w:rFonts w:hint="eastAsia"/>
          <w:sz w:val="28"/>
          <w:szCs w:val="28"/>
        </w:rPr>
        <w:t>2、仪器两年内凡质量问题由我公司免费维修。</w:t>
      </w:r>
    </w:p>
    <w:p>
      <w:pPr>
        <w:ind w:left="377" w:leftChars="1" w:hanging="375" w:hangingChars="134"/>
        <w:rPr>
          <w:sz w:val="28"/>
          <w:szCs w:val="28"/>
        </w:rPr>
      </w:pPr>
      <w:r>
        <w:rPr>
          <w:rFonts w:hint="eastAsia"/>
          <w:sz w:val="28"/>
          <w:szCs w:val="28"/>
        </w:rPr>
        <w:t>3、仪器使用超过两年，我公司负责长期维修，适当收取材料费。</w:t>
      </w:r>
    </w:p>
    <w:p>
      <w:pPr>
        <w:ind w:left="377" w:leftChars="1" w:hanging="375" w:hangingChars="134"/>
        <w:rPr>
          <w:sz w:val="28"/>
          <w:szCs w:val="28"/>
        </w:rPr>
      </w:pPr>
      <w:r>
        <w:rPr>
          <w:rFonts w:hint="eastAsia"/>
          <w:sz w:val="28"/>
          <w:szCs w:val="28"/>
        </w:rPr>
        <w:t>4、若仪器出现故障，请寄回本公司修理。不得自行拆开仪表，否则造成的自损我公司概不负责。</w:t>
      </w:r>
    </w:p>
    <w:p>
      <w:pPr>
        <w:ind w:left="377" w:leftChars="1" w:hanging="375" w:hangingChars="134"/>
        <w:rPr>
          <w:sz w:val="28"/>
          <w:szCs w:val="28"/>
        </w:rPr>
      </w:pPr>
    </w:p>
    <w:p>
      <w:pPr>
        <w:rPr>
          <w:sz w:val="28"/>
          <w:szCs w:val="28"/>
        </w:rPr>
      </w:pPr>
      <w:bookmarkStart w:id="16" w:name="_Toc19778"/>
      <w:bookmarkStart w:id="17" w:name="_Toc437358679"/>
      <w:r>
        <w:rPr>
          <w:rStyle w:val="18"/>
          <w:rFonts w:hint="eastAsia"/>
        </w:rPr>
        <w:t>附录A</w:t>
      </w:r>
      <w:bookmarkEnd w:id="16"/>
      <w:bookmarkEnd w:id="17"/>
    </w:p>
    <w:p>
      <w:pPr>
        <w:spacing w:line="360" w:lineRule="exact"/>
        <w:ind w:firstLine="2670" w:firstLineChars="950"/>
        <w:jc w:val="left"/>
        <w:rPr>
          <w:b/>
          <w:sz w:val="28"/>
          <w:szCs w:val="28"/>
        </w:rPr>
      </w:pPr>
      <w:r>
        <w:rPr>
          <w:rFonts w:hint="eastAsia"/>
          <w:b/>
          <w:sz w:val="28"/>
          <w:szCs w:val="28"/>
        </w:rPr>
        <w:t>绝缘杆参数补充说明</w:t>
      </w:r>
    </w:p>
    <w:p>
      <w:pPr>
        <w:spacing w:line="360" w:lineRule="exact"/>
        <w:ind w:firstLine="2670" w:firstLineChars="950"/>
        <w:jc w:val="left"/>
        <w:rPr>
          <w:b/>
          <w:sz w:val="28"/>
          <w:szCs w:val="28"/>
        </w:rPr>
      </w:pPr>
    </w:p>
    <w:p>
      <w:pPr>
        <w:spacing w:line="360" w:lineRule="exact"/>
        <w:jc w:val="left"/>
        <w:rPr>
          <w:sz w:val="28"/>
          <w:szCs w:val="28"/>
        </w:rPr>
      </w:pPr>
      <w:r>
        <w:rPr>
          <w:rFonts w:hint="eastAsia"/>
          <w:sz w:val="28"/>
          <w:szCs w:val="28"/>
        </w:rPr>
        <w:t>绝缘伸缩杆(材料)选用兵工企业生产的防潮绝缘管, 符合IEC/1C78标准具有防潮、耐高压、抗冲击、抗弯等特点, 该材质特性见下表。</w:t>
      </w:r>
    </w:p>
    <w:p>
      <w:pPr>
        <w:spacing w:after="93" w:afterLines="30" w:line="360" w:lineRule="exact"/>
        <w:ind w:left="378" w:hanging="378" w:hangingChars="135"/>
        <w:jc w:val="left"/>
        <w:rPr>
          <w:sz w:val="28"/>
          <w:szCs w:val="28"/>
        </w:rPr>
      </w:pPr>
      <w:r>
        <w:rPr>
          <w:rFonts w:hint="eastAsia"/>
          <w:sz w:val="28"/>
          <w:szCs w:val="28"/>
        </w:rPr>
        <w:t xml:space="preserve">  表一  绝缘杆机械、电气特性</w:t>
      </w:r>
    </w:p>
    <w:tbl>
      <w:tblPr>
        <w:tblStyle w:val="8"/>
        <w:tblW w:w="5940" w:type="dxa"/>
        <w:tblInd w:w="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1418"/>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2538" w:type="dxa"/>
            <w:shd w:val="clear" w:color="auto" w:fill="FFFFA3"/>
          </w:tcPr>
          <w:p>
            <w:pPr>
              <w:spacing w:line="380" w:lineRule="exact"/>
              <w:jc w:val="center"/>
              <w:rPr>
                <w:rFonts w:ascii="宋体" w:hAnsi="宋体"/>
                <w:sz w:val="28"/>
                <w:szCs w:val="28"/>
              </w:rPr>
            </w:pPr>
            <w:r>
              <w:rPr>
                <w:rFonts w:hint="eastAsia" w:ascii="宋体" w:hAnsi="宋体"/>
                <w:sz w:val="28"/>
                <w:szCs w:val="28"/>
              </w:rPr>
              <w:t>项   目</w:t>
            </w:r>
          </w:p>
        </w:tc>
        <w:tc>
          <w:tcPr>
            <w:tcW w:w="1418" w:type="dxa"/>
            <w:shd w:val="clear" w:color="auto" w:fill="FFFFA3"/>
          </w:tcPr>
          <w:p>
            <w:pPr>
              <w:spacing w:line="380" w:lineRule="exact"/>
              <w:jc w:val="center"/>
              <w:rPr>
                <w:rFonts w:ascii="宋体" w:hAnsi="宋体"/>
                <w:sz w:val="28"/>
                <w:szCs w:val="28"/>
              </w:rPr>
            </w:pPr>
            <w:r>
              <w:rPr>
                <w:rFonts w:hint="eastAsia" w:ascii="宋体" w:hAnsi="宋体"/>
                <w:sz w:val="28"/>
                <w:szCs w:val="28"/>
              </w:rPr>
              <w:t>单 位</w:t>
            </w:r>
          </w:p>
        </w:tc>
        <w:tc>
          <w:tcPr>
            <w:tcW w:w="1984" w:type="dxa"/>
            <w:shd w:val="clear" w:color="auto" w:fill="FFFFA3"/>
          </w:tcPr>
          <w:p>
            <w:pPr>
              <w:spacing w:line="380" w:lineRule="exact"/>
              <w:jc w:val="center"/>
              <w:rPr>
                <w:rFonts w:ascii="宋体" w:hAnsi="宋体"/>
                <w:sz w:val="28"/>
                <w:szCs w:val="28"/>
              </w:rPr>
            </w:pPr>
            <w:r>
              <w:rPr>
                <w:rFonts w:hint="eastAsia" w:ascii="宋体" w:hAnsi="宋体"/>
                <w:sz w:val="28"/>
                <w:szCs w:val="28"/>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2538" w:type="dxa"/>
          </w:tcPr>
          <w:p>
            <w:pPr>
              <w:spacing w:line="380" w:lineRule="exact"/>
              <w:ind w:firstLine="280" w:firstLineChars="100"/>
              <w:jc w:val="left"/>
              <w:rPr>
                <w:rFonts w:ascii="宋体" w:hAnsi="宋体"/>
                <w:sz w:val="28"/>
                <w:szCs w:val="28"/>
              </w:rPr>
            </w:pPr>
            <w:r>
              <w:rPr>
                <w:rFonts w:hint="eastAsia" w:ascii="宋体" w:hAnsi="宋体"/>
                <w:sz w:val="28"/>
                <w:szCs w:val="28"/>
              </w:rPr>
              <w:t>马丁式耐热性(纵向)</w:t>
            </w:r>
          </w:p>
        </w:tc>
        <w:tc>
          <w:tcPr>
            <w:tcW w:w="1418" w:type="dxa"/>
          </w:tcPr>
          <w:p>
            <w:pPr>
              <w:spacing w:line="380" w:lineRule="exact"/>
              <w:jc w:val="center"/>
              <w:rPr>
                <w:rFonts w:ascii="微软雅黑" w:hAnsi="微软雅黑" w:eastAsia="微软雅黑"/>
                <w:sz w:val="28"/>
                <w:szCs w:val="28"/>
              </w:rPr>
            </w:pPr>
            <w:r>
              <w:rPr>
                <w:rFonts w:hint="eastAsia" w:ascii="微软雅黑" w:hAnsi="微软雅黑" w:eastAsia="微软雅黑"/>
                <w:sz w:val="28"/>
                <w:szCs w:val="28"/>
              </w:rPr>
              <w:t>℃</w:t>
            </w:r>
          </w:p>
        </w:tc>
        <w:tc>
          <w:tcPr>
            <w:tcW w:w="1984" w:type="dxa"/>
          </w:tcPr>
          <w:p>
            <w:pPr>
              <w:spacing w:line="380" w:lineRule="exact"/>
              <w:ind w:firstLine="47" w:firstLineChars="17"/>
              <w:jc w:val="left"/>
              <w:rPr>
                <w:rFonts w:ascii="微软雅黑" w:hAnsi="微软雅黑" w:eastAsia="微软雅黑"/>
                <w:sz w:val="28"/>
                <w:szCs w:val="28"/>
              </w:rPr>
            </w:pPr>
            <w:r>
              <w:rPr>
                <w:rFonts w:hint="eastAsia" w:ascii="微软雅黑" w:hAnsi="微软雅黑" w:eastAsia="微软雅黑"/>
                <w:sz w:val="28"/>
                <w:szCs w:val="28"/>
              </w:rPr>
              <w:t>&gt;200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2538" w:type="dxa"/>
          </w:tcPr>
          <w:p>
            <w:pPr>
              <w:spacing w:line="380" w:lineRule="exact"/>
              <w:ind w:firstLine="280" w:firstLineChars="100"/>
              <w:jc w:val="left"/>
              <w:rPr>
                <w:rFonts w:ascii="宋体" w:hAnsi="宋体"/>
                <w:sz w:val="28"/>
                <w:szCs w:val="28"/>
              </w:rPr>
            </w:pPr>
            <w:r>
              <w:rPr>
                <w:rFonts w:hint="eastAsia" w:ascii="宋体" w:hAnsi="宋体"/>
                <w:sz w:val="28"/>
                <w:szCs w:val="28"/>
              </w:rPr>
              <w:t>抗冲击(纵向)</w:t>
            </w:r>
          </w:p>
        </w:tc>
        <w:tc>
          <w:tcPr>
            <w:tcW w:w="1418" w:type="dxa"/>
          </w:tcPr>
          <w:p>
            <w:pPr>
              <w:spacing w:line="380" w:lineRule="exact"/>
              <w:jc w:val="center"/>
              <w:rPr>
                <w:rFonts w:ascii="微软雅黑" w:hAnsi="微软雅黑" w:eastAsia="微软雅黑"/>
                <w:sz w:val="28"/>
                <w:szCs w:val="28"/>
              </w:rPr>
            </w:pPr>
            <w:r>
              <w:rPr>
                <w:rFonts w:hint="eastAsia" w:ascii="微软雅黑" w:hAnsi="微软雅黑" w:eastAsia="微软雅黑"/>
                <w:sz w:val="28"/>
                <w:szCs w:val="28"/>
              </w:rPr>
              <w:t>MPa/cm</w:t>
            </w:r>
          </w:p>
        </w:tc>
        <w:tc>
          <w:tcPr>
            <w:tcW w:w="1984" w:type="dxa"/>
          </w:tcPr>
          <w:p>
            <w:pPr>
              <w:spacing w:line="380" w:lineRule="exact"/>
              <w:ind w:firstLine="47" w:firstLineChars="17"/>
              <w:jc w:val="left"/>
              <w:rPr>
                <w:rFonts w:ascii="微软雅黑" w:hAnsi="微软雅黑" w:eastAsia="微软雅黑"/>
                <w:sz w:val="28"/>
                <w:szCs w:val="28"/>
              </w:rPr>
            </w:pPr>
            <w:r>
              <w:rPr>
                <w:rFonts w:hint="eastAsia" w:ascii="微软雅黑" w:hAnsi="微软雅黑" w:eastAsia="微软雅黑"/>
                <w:sz w:val="28"/>
                <w:szCs w:val="28"/>
              </w:rPr>
              <w:t>&gt;147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2538" w:type="dxa"/>
          </w:tcPr>
          <w:p>
            <w:pPr>
              <w:spacing w:line="380" w:lineRule="exact"/>
              <w:ind w:firstLine="280" w:firstLineChars="100"/>
              <w:jc w:val="left"/>
              <w:rPr>
                <w:rFonts w:ascii="宋体" w:hAnsi="宋体"/>
                <w:sz w:val="28"/>
                <w:szCs w:val="28"/>
              </w:rPr>
            </w:pPr>
            <w:r>
              <w:rPr>
                <w:rFonts w:hint="eastAsia" w:ascii="宋体" w:hAnsi="宋体"/>
                <w:sz w:val="28"/>
                <w:szCs w:val="28"/>
              </w:rPr>
              <w:t>抗弯度(纵向)</w:t>
            </w:r>
          </w:p>
        </w:tc>
        <w:tc>
          <w:tcPr>
            <w:tcW w:w="1418" w:type="dxa"/>
          </w:tcPr>
          <w:p>
            <w:pPr>
              <w:spacing w:line="380" w:lineRule="exact"/>
              <w:jc w:val="center"/>
              <w:rPr>
                <w:rFonts w:ascii="微软雅黑" w:hAnsi="微软雅黑" w:eastAsia="微软雅黑"/>
                <w:sz w:val="28"/>
                <w:szCs w:val="28"/>
              </w:rPr>
            </w:pPr>
            <w:r>
              <w:rPr>
                <w:rFonts w:hint="eastAsia" w:ascii="微软雅黑" w:hAnsi="微软雅黑" w:eastAsia="微软雅黑"/>
                <w:sz w:val="28"/>
                <w:szCs w:val="28"/>
              </w:rPr>
              <w:t>MPa</w:t>
            </w:r>
          </w:p>
        </w:tc>
        <w:tc>
          <w:tcPr>
            <w:tcW w:w="1984" w:type="dxa"/>
          </w:tcPr>
          <w:p>
            <w:pPr>
              <w:spacing w:line="380" w:lineRule="exact"/>
              <w:ind w:firstLine="47" w:firstLineChars="17"/>
              <w:jc w:val="left"/>
              <w:rPr>
                <w:rFonts w:ascii="微软雅黑" w:hAnsi="微软雅黑" w:eastAsia="微软雅黑"/>
                <w:sz w:val="28"/>
                <w:szCs w:val="28"/>
              </w:rPr>
            </w:pPr>
            <w:r>
              <w:rPr>
                <w:rFonts w:hint="eastAsia" w:ascii="微软雅黑" w:hAnsi="微软雅黑" w:eastAsia="微软雅黑"/>
                <w:sz w:val="28"/>
                <w:szCs w:val="28"/>
              </w:rPr>
              <w:t>&gt;343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2538" w:type="dxa"/>
          </w:tcPr>
          <w:p>
            <w:pPr>
              <w:spacing w:line="380" w:lineRule="exact"/>
              <w:ind w:firstLine="280" w:firstLineChars="100"/>
              <w:jc w:val="left"/>
              <w:rPr>
                <w:rFonts w:ascii="宋体" w:hAnsi="宋体"/>
                <w:sz w:val="28"/>
                <w:szCs w:val="28"/>
              </w:rPr>
            </w:pPr>
            <w:r>
              <w:rPr>
                <w:rFonts w:hint="eastAsia" w:ascii="宋体" w:hAnsi="宋体"/>
                <w:sz w:val="28"/>
                <w:szCs w:val="28"/>
              </w:rPr>
              <w:t>表面电阻系数(水浸后)</w:t>
            </w:r>
          </w:p>
        </w:tc>
        <w:tc>
          <w:tcPr>
            <w:tcW w:w="1418" w:type="dxa"/>
          </w:tcPr>
          <w:p>
            <w:pPr>
              <w:spacing w:line="380" w:lineRule="exact"/>
              <w:jc w:val="center"/>
              <w:rPr>
                <w:rFonts w:ascii="微软雅黑" w:hAnsi="微软雅黑" w:eastAsia="微软雅黑"/>
                <w:sz w:val="28"/>
                <w:szCs w:val="28"/>
              </w:rPr>
            </w:pPr>
            <w:r>
              <w:rPr>
                <w:rFonts w:hint="eastAsia" w:ascii="微软雅黑" w:hAnsi="微软雅黑" w:eastAsia="微软雅黑"/>
                <w:sz w:val="28"/>
                <w:szCs w:val="28"/>
              </w:rPr>
              <w:t>Ω</w:t>
            </w:r>
          </w:p>
        </w:tc>
        <w:tc>
          <w:tcPr>
            <w:tcW w:w="1984" w:type="dxa"/>
          </w:tcPr>
          <w:p>
            <w:pPr>
              <w:spacing w:line="380" w:lineRule="exact"/>
              <w:ind w:firstLine="47" w:firstLineChars="17"/>
              <w:jc w:val="left"/>
              <w:rPr>
                <w:rFonts w:ascii="微软雅黑" w:hAnsi="微软雅黑" w:eastAsia="微软雅黑"/>
                <w:sz w:val="28"/>
                <w:szCs w:val="28"/>
              </w:rPr>
            </w:pPr>
            <w:r>
              <w:rPr>
                <w:rFonts w:hint="eastAsia" w:ascii="微软雅黑" w:hAnsi="微软雅黑" w:eastAsia="微软雅黑"/>
                <w:sz w:val="28"/>
                <w:szCs w:val="28"/>
              </w:rPr>
              <w:t>&gt;10x10</w:t>
            </w:r>
            <w:r>
              <w:rPr>
                <w:rFonts w:hint="eastAsia" w:ascii="微软雅黑" w:hAnsi="微软雅黑" w:eastAsia="微软雅黑"/>
                <w:sz w:val="28"/>
                <w:szCs w:val="28"/>
                <w:vertAlign w:val="superscript"/>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trPr>
        <w:tc>
          <w:tcPr>
            <w:tcW w:w="2538" w:type="dxa"/>
          </w:tcPr>
          <w:p>
            <w:pPr>
              <w:spacing w:line="380" w:lineRule="exact"/>
              <w:ind w:firstLine="280" w:firstLineChars="100"/>
              <w:jc w:val="left"/>
              <w:rPr>
                <w:rFonts w:ascii="宋体" w:hAnsi="宋体"/>
                <w:sz w:val="28"/>
                <w:szCs w:val="28"/>
              </w:rPr>
            </w:pPr>
            <w:r>
              <w:rPr>
                <w:rFonts w:hint="eastAsia" w:ascii="宋体" w:hAnsi="宋体"/>
                <w:sz w:val="28"/>
                <w:szCs w:val="28"/>
              </w:rPr>
              <w:t>体积电阻系数(常态)</w:t>
            </w:r>
          </w:p>
        </w:tc>
        <w:tc>
          <w:tcPr>
            <w:tcW w:w="1418" w:type="dxa"/>
          </w:tcPr>
          <w:p>
            <w:pPr>
              <w:spacing w:line="380" w:lineRule="exact"/>
              <w:jc w:val="center"/>
              <w:rPr>
                <w:rFonts w:ascii="微软雅黑" w:hAnsi="微软雅黑" w:eastAsia="微软雅黑"/>
                <w:sz w:val="28"/>
                <w:szCs w:val="28"/>
              </w:rPr>
            </w:pPr>
            <w:r>
              <w:rPr>
                <w:rFonts w:hint="eastAsia" w:ascii="微软雅黑" w:hAnsi="微软雅黑" w:eastAsia="微软雅黑"/>
                <w:sz w:val="28"/>
                <w:szCs w:val="28"/>
              </w:rPr>
              <w:t>Ω/cm</w:t>
            </w:r>
          </w:p>
        </w:tc>
        <w:tc>
          <w:tcPr>
            <w:tcW w:w="1984" w:type="dxa"/>
          </w:tcPr>
          <w:p>
            <w:pPr>
              <w:spacing w:line="380" w:lineRule="exact"/>
              <w:ind w:firstLine="47" w:firstLineChars="17"/>
              <w:jc w:val="left"/>
              <w:rPr>
                <w:rFonts w:ascii="微软雅黑" w:hAnsi="微软雅黑" w:eastAsia="微软雅黑"/>
                <w:sz w:val="28"/>
                <w:szCs w:val="28"/>
              </w:rPr>
            </w:pPr>
            <w:r>
              <w:rPr>
                <w:rFonts w:hint="eastAsia" w:ascii="微软雅黑" w:hAnsi="微软雅黑" w:eastAsia="微软雅黑"/>
                <w:sz w:val="28"/>
                <w:szCs w:val="28"/>
              </w:rPr>
              <w:t>&gt;10x10</w:t>
            </w:r>
            <w:r>
              <w:rPr>
                <w:rFonts w:hint="eastAsia" w:ascii="微软雅黑" w:hAnsi="微软雅黑" w:eastAsia="微软雅黑"/>
                <w:sz w:val="28"/>
                <w:szCs w:val="28"/>
                <w:vertAlign w:val="superscript"/>
              </w:rPr>
              <w:t>31</w:t>
            </w:r>
          </w:p>
        </w:tc>
      </w:tr>
    </w:tbl>
    <w:p>
      <w:pPr>
        <w:rPr>
          <w:sz w:val="10"/>
          <w:szCs w:val="10"/>
        </w:rPr>
      </w:pPr>
    </w:p>
    <w:p>
      <w:pPr>
        <w:ind w:firstLine="260" w:firstLineChars="93"/>
        <w:rPr>
          <w:sz w:val="28"/>
          <w:szCs w:val="28"/>
        </w:rPr>
      </w:pPr>
      <w:r>
        <w:rPr>
          <w:rFonts w:hint="eastAsia"/>
          <w:sz w:val="28"/>
          <w:szCs w:val="28"/>
        </w:rPr>
        <w:t>表二 绝缘杆耐压试验参数</w:t>
      </w:r>
    </w:p>
    <w:tbl>
      <w:tblPr>
        <w:tblStyle w:val="8"/>
        <w:tblW w:w="5878" w:type="dxa"/>
        <w:tblInd w:w="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979"/>
        <w:gridCol w:w="864"/>
        <w:gridCol w:w="850"/>
        <w:gridCol w:w="1146"/>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113" w:type="dxa"/>
            <w:vMerge w:val="restart"/>
            <w:shd w:val="clear" w:color="auto" w:fill="FFFFA3"/>
            <w:vAlign w:val="center"/>
          </w:tcPr>
          <w:p>
            <w:pPr>
              <w:spacing w:line="280" w:lineRule="exact"/>
              <w:jc w:val="center"/>
              <w:rPr>
                <w:rFonts w:ascii="微软雅黑" w:hAnsi="微软雅黑" w:eastAsia="微软雅黑"/>
                <w:sz w:val="28"/>
                <w:szCs w:val="28"/>
              </w:rPr>
            </w:pPr>
            <w:r>
              <w:rPr>
                <w:rFonts w:hint="eastAsia" w:ascii="宋体" w:hAnsi="宋体"/>
                <w:sz w:val="28"/>
                <w:szCs w:val="28"/>
              </w:rPr>
              <w:t xml:space="preserve">电压 </w:t>
            </w:r>
            <w:r>
              <w:rPr>
                <w:rFonts w:hint="eastAsia"/>
                <w:sz w:val="28"/>
                <w:szCs w:val="28"/>
              </w:rPr>
              <w:t>(kV)</w:t>
            </w:r>
          </w:p>
        </w:tc>
        <w:tc>
          <w:tcPr>
            <w:tcW w:w="979" w:type="dxa"/>
            <w:vMerge w:val="restart"/>
            <w:shd w:val="clear" w:color="auto" w:fill="FFFFA3"/>
            <w:vAlign w:val="center"/>
          </w:tcPr>
          <w:p>
            <w:pPr>
              <w:spacing w:line="280" w:lineRule="exact"/>
              <w:ind w:left="15" w:leftChars="-22" w:right="-107" w:rightChars="-51" w:hanging="61" w:hangingChars="22"/>
              <w:jc w:val="center"/>
              <w:rPr>
                <w:rFonts w:ascii="微软雅黑" w:hAnsi="微软雅黑" w:eastAsia="微软雅黑"/>
                <w:sz w:val="28"/>
                <w:szCs w:val="28"/>
              </w:rPr>
            </w:pPr>
            <w:r>
              <w:rPr>
                <w:rFonts w:hint="eastAsia" w:ascii="宋体" w:hAnsi="宋体"/>
                <w:sz w:val="28"/>
                <w:szCs w:val="28"/>
              </w:rPr>
              <w:t>长度</w:t>
            </w:r>
            <w:r>
              <w:rPr>
                <w:rFonts w:hint="eastAsia"/>
                <w:sz w:val="28"/>
                <w:szCs w:val="28"/>
              </w:rPr>
              <w:t>(m)</w:t>
            </w:r>
          </w:p>
        </w:tc>
        <w:tc>
          <w:tcPr>
            <w:tcW w:w="1714" w:type="dxa"/>
            <w:gridSpan w:val="2"/>
            <w:tcBorders>
              <w:bottom w:val="single" w:color="auto" w:sz="4" w:space="0"/>
            </w:tcBorders>
            <w:shd w:val="clear" w:color="auto" w:fill="FFFFA3"/>
            <w:vAlign w:val="center"/>
          </w:tcPr>
          <w:p>
            <w:pPr>
              <w:spacing w:line="280" w:lineRule="exact"/>
              <w:ind w:right="-107" w:rightChars="-51"/>
              <w:jc w:val="center"/>
              <w:rPr>
                <w:rFonts w:ascii="微软雅黑" w:hAnsi="微软雅黑" w:eastAsia="微软雅黑"/>
                <w:sz w:val="28"/>
                <w:szCs w:val="28"/>
              </w:rPr>
            </w:pPr>
            <w:r>
              <w:rPr>
                <w:rFonts w:hint="eastAsia" w:ascii="宋体" w:hAnsi="宋体"/>
                <w:sz w:val="28"/>
                <w:szCs w:val="28"/>
              </w:rPr>
              <w:t xml:space="preserve">工频耐压 </w:t>
            </w:r>
            <w:r>
              <w:rPr>
                <w:rFonts w:hint="eastAsia" w:ascii="微软雅黑" w:hAnsi="微软雅黑" w:eastAsia="微软雅黑"/>
                <w:sz w:val="28"/>
                <w:szCs w:val="28"/>
              </w:rPr>
              <w:t>(kV)</w:t>
            </w:r>
          </w:p>
        </w:tc>
        <w:tc>
          <w:tcPr>
            <w:tcW w:w="1146" w:type="dxa"/>
            <w:vMerge w:val="restart"/>
            <w:shd w:val="clear" w:color="auto" w:fill="FFFFA3"/>
            <w:vAlign w:val="center"/>
          </w:tcPr>
          <w:p>
            <w:pPr>
              <w:spacing w:line="280" w:lineRule="exact"/>
              <w:ind w:left="35" w:leftChars="-51" w:right="-107" w:rightChars="-51" w:hanging="142" w:hangingChars="51"/>
              <w:jc w:val="center"/>
              <w:rPr>
                <w:sz w:val="28"/>
                <w:szCs w:val="28"/>
              </w:rPr>
            </w:pPr>
            <w:r>
              <w:rPr>
                <w:rFonts w:hint="eastAsia" w:ascii="宋体" w:hAnsi="宋体"/>
                <w:sz w:val="28"/>
                <w:szCs w:val="28"/>
              </w:rPr>
              <w:t>时间</w:t>
            </w:r>
            <w:r>
              <w:rPr>
                <w:rFonts w:hint="eastAsia"/>
                <w:sz w:val="28"/>
                <w:szCs w:val="28"/>
              </w:rPr>
              <w:t>(min)</w:t>
            </w:r>
          </w:p>
        </w:tc>
        <w:tc>
          <w:tcPr>
            <w:tcW w:w="926" w:type="dxa"/>
            <w:vMerge w:val="restart"/>
            <w:shd w:val="clear" w:color="auto" w:fill="FFFFA3"/>
            <w:vAlign w:val="center"/>
          </w:tcPr>
          <w:p>
            <w:pPr>
              <w:spacing w:line="280" w:lineRule="exact"/>
              <w:ind w:left="9" w:leftChars="-85" w:right="-107" w:rightChars="-51" w:hanging="187" w:hangingChars="67"/>
              <w:jc w:val="center"/>
              <w:rPr>
                <w:rFonts w:ascii="宋体" w:hAnsi="宋体"/>
                <w:sz w:val="28"/>
                <w:szCs w:val="28"/>
              </w:rPr>
            </w:pPr>
            <w:r>
              <w:rPr>
                <w:rFonts w:hint="eastAsia" w:ascii="宋体" w:hAnsi="宋体"/>
                <w:sz w:val="28"/>
                <w:szCs w:val="28"/>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113" w:type="dxa"/>
            <w:vMerge w:val="continue"/>
            <w:shd w:val="clear" w:color="auto" w:fill="auto"/>
            <w:vAlign w:val="center"/>
          </w:tcPr>
          <w:p>
            <w:pPr>
              <w:jc w:val="center"/>
              <w:rPr>
                <w:sz w:val="28"/>
                <w:szCs w:val="28"/>
              </w:rPr>
            </w:pPr>
          </w:p>
        </w:tc>
        <w:tc>
          <w:tcPr>
            <w:tcW w:w="979" w:type="dxa"/>
            <w:vMerge w:val="continue"/>
            <w:shd w:val="clear" w:color="auto" w:fill="auto"/>
            <w:vAlign w:val="center"/>
          </w:tcPr>
          <w:p>
            <w:pPr>
              <w:jc w:val="center"/>
              <w:rPr>
                <w:sz w:val="28"/>
                <w:szCs w:val="28"/>
              </w:rPr>
            </w:pPr>
          </w:p>
        </w:tc>
        <w:tc>
          <w:tcPr>
            <w:tcW w:w="864" w:type="dxa"/>
            <w:shd w:val="clear" w:color="auto" w:fill="FFFFA3"/>
            <w:vAlign w:val="center"/>
          </w:tcPr>
          <w:p>
            <w:pPr>
              <w:spacing w:line="280" w:lineRule="exact"/>
              <w:ind w:left="15" w:leftChars="-51" w:right="-107" w:rightChars="-51" w:hanging="122" w:hangingChars="51"/>
              <w:jc w:val="center"/>
              <w:rPr>
                <w:rFonts w:ascii="宋体" w:hAnsi="宋体"/>
                <w:sz w:val="24"/>
              </w:rPr>
            </w:pPr>
            <w:r>
              <w:rPr>
                <w:rFonts w:hint="eastAsia" w:ascii="宋体" w:hAnsi="宋体"/>
                <w:sz w:val="24"/>
              </w:rPr>
              <w:t>标准值</w:t>
            </w:r>
          </w:p>
        </w:tc>
        <w:tc>
          <w:tcPr>
            <w:tcW w:w="850" w:type="dxa"/>
            <w:shd w:val="clear" w:color="auto" w:fill="FFFFA3"/>
            <w:vAlign w:val="center"/>
          </w:tcPr>
          <w:p>
            <w:pPr>
              <w:spacing w:line="280" w:lineRule="exact"/>
              <w:ind w:left="15" w:leftChars="-51" w:right="-107" w:rightChars="-51" w:hanging="122" w:hangingChars="51"/>
              <w:jc w:val="center"/>
              <w:rPr>
                <w:rFonts w:ascii="宋体" w:hAnsi="宋体"/>
                <w:sz w:val="24"/>
              </w:rPr>
            </w:pPr>
            <w:r>
              <w:rPr>
                <w:rFonts w:hint="eastAsia" w:ascii="宋体" w:hAnsi="宋体"/>
                <w:sz w:val="24"/>
              </w:rPr>
              <w:t>试验值</w:t>
            </w:r>
          </w:p>
        </w:tc>
        <w:tc>
          <w:tcPr>
            <w:tcW w:w="1146" w:type="dxa"/>
            <w:vMerge w:val="continue"/>
            <w:vAlign w:val="center"/>
          </w:tcPr>
          <w:p>
            <w:pPr>
              <w:jc w:val="center"/>
              <w:rPr>
                <w:sz w:val="28"/>
                <w:szCs w:val="28"/>
              </w:rPr>
            </w:pPr>
          </w:p>
        </w:tc>
        <w:tc>
          <w:tcPr>
            <w:tcW w:w="926" w:type="dxa"/>
            <w:vMerge w:val="continue"/>
            <w:vAlign w:val="center"/>
          </w:tcPr>
          <w:p>
            <w:pPr>
              <w:ind w:left="-250" w:leftChars="-119" w:firstLine="187" w:firstLineChars="67"/>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13" w:type="dxa"/>
            <w:vAlign w:val="center"/>
          </w:tcPr>
          <w:p>
            <w:pPr>
              <w:ind w:firstLine="42" w:firstLineChars="15"/>
              <w:jc w:val="center"/>
              <w:rPr>
                <w:sz w:val="28"/>
                <w:szCs w:val="28"/>
              </w:rPr>
            </w:pPr>
            <w:r>
              <w:rPr>
                <w:rFonts w:hint="eastAsia"/>
                <w:sz w:val="28"/>
                <w:szCs w:val="28"/>
              </w:rPr>
              <w:t>6-10</w:t>
            </w:r>
          </w:p>
        </w:tc>
        <w:tc>
          <w:tcPr>
            <w:tcW w:w="979" w:type="dxa"/>
            <w:vAlign w:val="center"/>
          </w:tcPr>
          <w:p>
            <w:pPr>
              <w:jc w:val="center"/>
              <w:rPr>
                <w:sz w:val="28"/>
                <w:szCs w:val="28"/>
              </w:rPr>
            </w:pPr>
            <w:r>
              <w:rPr>
                <w:rFonts w:hint="eastAsia"/>
                <w:sz w:val="28"/>
                <w:szCs w:val="28"/>
              </w:rPr>
              <w:t>1.5</w:t>
            </w:r>
          </w:p>
        </w:tc>
        <w:tc>
          <w:tcPr>
            <w:tcW w:w="864" w:type="dxa"/>
            <w:vAlign w:val="center"/>
          </w:tcPr>
          <w:p>
            <w:pPr>
              <w:jc w:val="center"/>
              <w:rPr>
                <w:sz w:val="28"/>
                <w:szCs w:val="28"/>
              </w:rPr>
            </w:pPr>
            <w:r>
              <w:rPr>
                <w:rFonts w:hint="eastAsia"/>
                <w:sz w:val="28"/>
                <w:szCs w:val="28"/>
              </w:rPr>
              <w:t>44</w:t>
            </w:r>
          </w:p>
        </w:tc>
        <w:tc>
          <w:tcPr>
            <w:tcW w:w="850" w:type="dxa"/>
            <w:vAlign w:val="center"/>
          </w:tcPr>
          <w:p>
            <w:pPr>
              <w:jc w:val="center"/>
              <w:rPr>
                <w:sz w:val="28"/>
                <w:szCs w:val="28"/>
              </w:rPr>
            </w:pPr>
            <w:r>
              <w:rPr>
                <w:rFonts w:hint="eastAsia"/>
                <w:sz w:val="28"/>
                <w:szCs w:val="28"/>
              </w:rPr>
              <w:t>44</w:t>
            </w:r>
          </w:p>
        </w:tc>
        <w:tc>
          <w:tcPr>
            <w:tcW w:w="1146" w:type="dxa"/>
            <w:vAlign w:val="center"/>
          </w:tcPr>
          <w:p>
            <w:pPr>
              <w:jc w:val="center"/>
              <w:rPr>
                <w:sz w:val="28"/>
                <w:szCs w:val="28"/>
              </w:rPr>
            </w:pPr>
            <w:r>
              <w:rPr>
                <w:rFonts w:hint="eastAsia"/>
                <w:sz w:val="28"/>
                <w:szCs w:val="28"/>
              </w:rPr>
              <w:t>1</w:t>
            </w:r>
            <w:r>
              <w:rPr>
                <w:sz w:val="28"/>
                <w:szCs w:val="28"/>
              </w:rPr>
              <w:t>～</w:t>
            </w:r>
            <w:r>
              <w:rPr>
                <w:rFonts w:hint="eastAsia"/>
                <w:sz w:val="28"/>
                <w:szCs w:val="28"/>
              </w:rPr>
              <w:t>5</w:t>
            </w:r>
          </w:p>
        </w:tc>
        <w:tc>
          <w:tcPr>
            <w:tcW w:w="926" w:type="dxa"/>
            <w:vAlign w:val="center"/>
          </w:tcPr>
          <w:p>
            <w:pPr>
              <w:spacing w:line="280" w:lineRule="exact"/>
              <w:ind w:left="-85" w:leftChars="-83" w:right="-107" w:rightChars="-51" w:hanging="89" w:hangingChars="32"/>
              <w:jc w:val="center"/>
              <w:rPr>
                <w:rFonts w:ascii="宋体" w:hAnsi="宋体"/>
                <w:sz w:val="28"/>
                <w:szCs w:val="28"/>
              </w:rPr>
            </w:pPr>
            <w:r>
              <w:rPr>
                <w:rFonts w:hint="eastAsia" w:ascii="宋体" w:hAnsi="宋体"/>
                <w:sz w:val="28"/>
                <w:szCs w:val="2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trPr>
        <w:tc>
          <w:tcPr>
            <w:tcW w:w="1113" w:type="dxa"/>
            <w:vAlign w:val="center"/>
          </w:tcPr>
          <w:p>
            <w:pPr>
              <w:ind w:firstLine="42" w:firstLineChars="15"/>
              <w:jc w:val="center"/>
              <w:rPr>
                <w:sz w:val="28"/>
                <w:szCs w:val="28"/>
              </w:rPr>
            </w:pPr>
            <w:r>
              <w:rPr>
                <w:rFonts w:hint="eastAsia"/>
                <w:sz w:val="28"/>
                <w:szCs w:val="28"/>
              </w:rPr>
              <w:t>35</w:t>
            </w:r>
          </w:p>
        </w:tc>
        <w:tc>
          <w:tcPr>
            <w:tcW w:w="979" w:type="dxa"/>
            <w:vAlign w:val="center"/>
          </w:tcPr>
          <w:p>
            <w:pPr>
              <w:jc w:val="center"/>
              <w:rPr>
                <w:sz w:val="28"/>
                <w:szCs w:val="28"/>
              </w:rPr>
            </w:pPr>
            <w:r>
              <w:rPr>
                <w:rFonts w:hint="eastAsia"/>
                <w:sz w:val="28"/>
                <w:szCs w:val="28"/>
              </w:rPr>
              <w:t>2.4</w:t>
            </w:r>
          </w:p>
        </w:tc>
        <w:tc>
          <w:tcPr>
            <w:tcW w:w="864" w:type="dxa"/>
            <w:vAlign w:val="center"/>
          </w:tcPr>
          <w:p>
            <w:pPr>
              <w:jc w:val="center"/>
              <w:rPr>
                <w:sz w:val="28"/>
                <w:szCs w:val="28"/>
              </w:rPr>
            </w:pPr>
            <w:r>
              <w:rPr>
                <w:rFonts w:hint="eastAsia"/>
                <w:sz w:val="28"/>
                <w:szCs w:val="28"/>
              </w:rPr>
              <w:t>80</w:t>
            </w:r>
          </w:p>
        </w:tc>
        <w:tc>
          <w:tcPr>
            <w:tcW w:w="850" w:type="dxa"/>
            <w:vAlign w:val="center"/>
          </w:tcPr>
          <w:p>
            <w:pPr>
              <w:jc w:val="center"/>
              <w:rPr>
                <w:sz w:val="28"/>
                <w:szCs w:val="28"/>
              </w:rPr>
            </w:pPr>
            <w:r>
              <w:rPr>
                <w:rFonts w:hint="eastAsia"/>
                <w:sz w:val="28"/>
                <w:szCs w:val="28"/>
              </w:rPr>
              <w:t>80</w:t>
            </w:r>
          </w:p>
        </w:tc>
        <w:tc>
          <w:tcPr>
            <w:tcW w:w="1146" w:type="dxa"/>
            <w:vAlign w:val="center"/>
          </w:tcPr>
          <w:p>
            <w:pPr>
              <w:jc w:val="center"/>
              <w:rPr>
                <w:sz w:val="28"/>
                <w:szCs w:val="28"/>
              </w:rPr>
            </w:pPr>
            <w:r>
              <w:rPr>
                <w:rFonts w:hint="eastAsia"/>
                <w:sz w:val="28"/>
                <w:szCs w:val="28"/>
              </w:rPr>
              <w:t>1</w:t>
            </w:r>
            <w:r>
              <w:rPr>
                <w:sz w:val="28"/>
                <w:szCs w:val="28"/>
              </w:rPr>
              <w:t>～</w:t>
            </w:r>
            <w:r>
              <w:rPr>
                <w:rFonts w:hint="eastAsia"/>
                <w:sz w:val="28"/>
                <w:szCs w:val="28"/>
              </w:rPr>
              <w:t>5</w:t>
            </w:r>
          </w:p>
        </w:tc>
        <w:tc>
          <w:tcPr>
            <w:tcW w:w="926" w:type="dxa"/>
            <w:vAlign w:val="center"/>
          </w:tcPr>
          <w:p>
            <w:pPr>
              <w:spacing w:line="280" w:lineRule="exact"/>
              <w:ind w:left="-85" w:leftChars="-83" w:right="-107" w:rightChars="-51" w:hanging="89" w:hangingChars="32"/>
              <w:jc w:val="center"/>
              <w:rPr>
                <w:rFonts w:ascii="宋体" w:hAnsi="宋体"/>
                <w:sz w:val="28"/>
                <w:szCs w:val="28"/>
              </w:rPr>
            </w:pPr>
            <w:r>
              <w:rPr>
                <w:rFonts w:hint="eastAsia" w:ascii="宋体" w:hAnsi="宋体"/>
                <w:sz w:val="28"/>
                <w:szCs w:val="2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113" w:type="dxa"/>
            <w:vAlign w:val="center"/>
          </w:tcPr>
          <w:p>
            <w:pPr>
              <w:ind w:right="-160" w:rightChars="-76" w:firstLine="42" w:firstLineChars="15"/>
              <w:jc w:val="center"/>
              <w:rPr>
                <w:sz w:val="28"/>
                <w:szCs w:val="28"/>
              </w:rPr>
            </w:pPr>
            <w:r>
              <w:rPr>
                <w:rFonts w:hint="eastAsia"/>
                <w:sz w:val="28"/>
                <w:szCs w:val="28"/>
              </w:rPr>
              <w:t>66~110</w:t>
            </w:r>
          </w:p>
        </w:tc>
        <w:tc>
          <w:tcPr>
            <w:tcW w:w="979" w:type="dxa"/>
            <w:vAlign w:val="center"/>
          </w:tcPr>
          <w:p>
            <w:pPr>
              <w:jc w:val="center"/>
              <w:rPr>
                <w:sz w:val="28"/>
                <w:szCs w:val="28"/>
              </w:rPr>
            </w:pPr>
            <w:r>
              <w:rPr>
                <w:rFonts w:hint="eastAsia"/>
                <w:sz w:val="28"/>
                <w:szCs w:val="28"/>
              </w:rPr>
              <w:t>2.8</w:t>
            </w:r>
          </w:p>
        </w:tc>
        <w:tc>
          <w:tcPr>
            <w:tcW w:w="864" w:type="dxa"/>
            <w:vAlign w:val="center"/>
          </w:tcPr>
          <w:p>
            <w:pPr>
              <w:jc w:val="center"/>
              <w:rPr>
                <w:sz w:val="28"/>
                <w:szCs w:val="28"/>
              </w:rPr>
            </w:pPr>
            <w:r>
              <w:rPr>
                <w:rFonts w:hint="eastAsia"/>
                <w:sz w:val="28"/>
                <w:szCs w:val="28"/>
              </w:rPr>
              <w:t>254</w:t>
            </w:r>
          </w:p>
        </w:tc>
        <w:tc>
          <w:tcPr>
            <w:tcW w:w="850" w:type="dxa"/>
            <w:vAlign w:val="center"/>
          </w:tcPr>
          <w:p>
            <w:pPr>
              <w:jc w:val="center"/>
              <w:rPr>
                <w:sz w:val="28"/>
                <w:szCs w:val="28"/>
              </w:rPr>
            </w:pPr>
            <w:r>
              <w:rPr>
                <w:rFonts w:hint="eastAsia"/>
                <w:sz w:val="28"/>
                <w:szCs w:val="28"/>
              </w:rPr>
              <w:t>254</w:t>
            </w:r>
          </w:p>
        </w:tc>
        <w:tc>
          <w:tcPr>
            <w:tcW w:w="1146" w:type="dxa"/>
            <w:vAlign w:val="center"/>
          </w:tcPr>
          <w:p>
            <w:pPr>
              <w:jc w:val="center"/>
              <w:rPr>
                <w:sz w:val="28"/>
                <w:szCs w:val="28"/>
              </w:rPr>
            </w:pPr>
            <w:r>
              <w:rPr>
                <w:rFonts w:hint="eastAsia"/>
                <w:sz w:val="28"/>
                <w:szCs w:val="28"/>
              </w:rPr>
              <w:t>1</w:t>
            </w:r>
            <w:r>
              <w:rPr>
                <w:sz w:val="28"/>
                <w:szCs w:val="28"/>
              </w:rPr>
              <w:t>～</w:t>
            </w:r>
            <w:r>
              <w:rPr>
                <w:rFonts w:hint="eastAsia"/>
                <w:sz w:val="28"/>
                <w:szCs w:val="28"/>
              </w:rPr>
              <w:t>5</w:t>
            </w:r>
          </w:p>
        </w:tc>
        <w:tc>
          <w:tcPr>
            <w:tcW w:w="926" w:type="dxa"/>
            <w:vAlign w:val="center"/>
          </w:tcPr>
          <w:p>
            <w:pPr>
              <w:spacing w:line="280" w:lineRule="exact"/>
              <w:ind w:left="-85" w:leftChars="-83" w:right="-107" w:rightChars="-51" w:hanging="89" w:hangingChars="32"/>
              <w:jc w:val="center"/>
              <w:rPr>
                <w:rFonts w:ascii="宋体" w:hAnsi="宋体"/>
                <w:sz w:val="28"/>
                <w:szCs w:val="28"/>
              </w:rPr>
            </w:pPr>
            <w:r>
              <w:rPr>
                <w:rFonts w:hint="eastAsia" w:ascii="宋体" w:hAnsi="宋体"/>
                <w:sz w:val="28"/>
                <w:szCs w:val="2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113" w:type="dxa"/>
            <w:vAlign w:val="center"/>
          </w:tcPr>
          <w:p>
            <w:pPr>
              <w:ind w:right="-160" w:rightChars="-76" w:firstLine="42" w:firstLineChars="15"/>
              <w:jc w:val="center"/>
              <w:rPr>
                <w:sz w:val="28"/>
                <w:szCs w:val="28"/>
              </w:rPr>
            </w:pPr>
            <w:r>
              <w:rPr>
                <w:rFonts w:hint="eastAsia"/>
                <w:sz w:val="28"/>
                <w:szCs w:val="28"/>
              </w:rPr>
              <w:t>220</w:t>
            </w:r>
          </w:p>
        </w:tc>
        <w:tc>
          <w:tcPr>
            <w:tcW w:w="979" w:type="dxa"/>
            <w:vAlign w:val="center"/>
          </w:tcPr>
          <w:p>
            <w:pPr>
              <w:jc w:val="center"/>
              <w:rPr>
                <w:sz w:val="28"/>
                <w:szCs w:val="28"/>
              </w:rPr>
            </w:pPr>
            <w:r>
              <w:rPr>
                <w:rFonts w:hint="eastAsia"/>
                <w:sz w:val="28"/>
                <w:szCs w:val="28"/>
              </w:rPr>
              <w:t>3.0</w:t>
            </w:r>
          </w:p>
        </w:tc>
        <w:tc>
          <w:tcPr>
            <w:tcW w:w="864" w:type="dxa"/>
            <w:vAlign w:val="center"/>
          </w:tcPr>
          <w:p>
            <w:pPr>
              <w:jc w:val="center"/>
              <w:rPr>
                <w:sz w:val="28"/>
                <w:szCs w:val="28"/>
              </w:rPr>
            </w:pPr>
            <w:r>
              <w:rPr>
                <w:rFonts w:hint="eastAsia"/>
                <w:sz w:val="28"/>
                <w:szCs w:val="28"/>
              </w:rPr>
              <w:t>440</w:t>
            </w:r>
          </w:p>
        </w:tc>
        <w:tc>
          <w:tcPr>
            <w:tcW w:w="850" w:type="dxa"/>
            <w:vAlign w:val="center"/>
          </w:tcPr>
          <w:p>
            <w:pPr>
              <w:jc w:val="center"/>
              <w:rPr>
                <w:sz w:val="28"/>
                <w:szCs w:val="28"/>
              </w:rPr>
            </w:pPr>
            <w:r>
              <w:rPr>
                <w:rFonts w:hint="eastAsia"/>
                <w:sz w:val="28"/>
                <w:szCs w:val="28"/>
              </w:rPr>
              <w:t>440</w:t>
            </w:r>
          </w:p>
        </w:tc>
        <w:tc>
          <w:tcPr>
            <w:tcW w:w="1146" w:type="dxa"/>
            <w:vAlign w:val="center"/>
          </w:tcPr>
          <w:p>
            <w:pPr>
              <w:jc w:val="center"/>
              <w:rPr>
                <w:sz w:val="28"/>
                <w:szCs w:val="28"/>
              </w:rPr>
            </w:pPr>
            <w:r>
              <w:rPr>
                <w:rFonts w:hint="eastAsia"/>
                <w:sz w:val="28"/>
                <w:szCs w:val="28"/>
              </w:rPr>
              <w:t>1</w:t>
            </w:r>
            <w:r>
              <w:rPr>
                <w:sz w:val="28"/>
                <w:szCs w:val="28"/>
              </w:rPr>
              <w:t>～</w:t>
            </w:r>
            <w:r>
              <w:rPr>
                <w:rFonts w:hint="eastAsia"/>
                <w:sz w:val="28"/>
                <w:szCs w:val="28"/>
              </w:rPr>
              <w:t>5</w:t>
            </w:r>
          </w:p>
        </w:tc>
        <w:tc>
          <w:tcPr>
            <w:tcW w:w="926" w:type="dxa"/>
            <w:vAlign w:val="center"/>
          </w:tcPr>
          <w:p>
            <w:pPr>
              <w:spacing w:line="280" w:lineRule="exact"/>
              <w:ind w:left="-85" w:leftChars="-83" w:right="-107" w:rightChars="-51" w:hanging="89" w:hangingChars="32"/>
              <w:jc w:val="center"/>
              <w:rPr>
                <w:rFonts w:ascii="宋体" w:hAnsi="宋体"/>
                <w:sz w:val="28"/>
                <w:szCs w:val="28"/>
              </w:rPr>
            </w:pPr>
            <w:r>
              <w:rPr>
                <w:rFonts w:hint="eastAsia" w:ascii="宋体" w:hAnsi="宋体"/>
                <w:sz w:val="28"/>
                <w:szCs w:val="28"/>
              </w:rPr>
              <w:t>合格</w:t>
            </w:r>
          </w:p>
        </w:tc>
      </w:tr>
    </w:tbl>
    <w:p>
      <w:pPr>
        <w:autoSpaceDE w:val="0"/>
        <w:autoSpaceDN w:val="0"/>
        <w:adjustRightInd w:val="0"/>
        <w:jc w:val="left"/>
        <w:rPr>
          <w:sz w:val="28"/>
          <w:szCs w:val="28"/>
        </w:rPr>
      </w:pPr>
      <w:r>
        <w:rPr>
          <w:rFonts w:hint="eastAsia"/>
          <w:sz w:val="28"/>
          <w:szCs w:val="28"/>
        </w:rPr>
        <w:t>产品符合国家GB13398-92、GB311.1-311.6-8、3DL408-91标准和国家新颁布电力行业标准《带电作业用1kV~110kV便携式核相仪通用技术条件 DL/T971-2005》要求。</w:t>
      </w:r>
    </w:p>
    <w:p>
      <w:pPr>
        <w:ind w:left="594" w:leftChars="1" w:hanging="592" w:hangingChars="134"/>
        <w:rPr>
          <w:rStyle w:val="18"/>
        </w:rPr>
      </w:pPr>
    </w:p>
    <w:p>
      <w:pPr>
        <w:rPr>
          <w:rStyle w:val="18"/>
          <w:rFonts w:hint="eastAsia"/>
        </w:rPr>
      </w:pPr>
    </w:p>
    <w:p>
      <w:pPr>
        <w:ind w:left="594" w:leftChars="1" w:hanging="592" w:hangingChars="134"/>
        <w:rPr>
          <w:sz w:val="28"/>
          <w:szCs w:val="28"/>
        </w:rPr>
      </w:pPr>
      <w:bookmarkStart w:id="18" w:name="_Toc12705"/>
      <w:bookmarkStart w:id="19" w:name="_Toc437358680"/>
      <w:r>
        <w:rPr>
          <w:rStyle w:val="18"/>
          <w:rFonts w:hint="eastAsia"/>
        </w:rPr>
        <w:t>附录B</w:t>
      </w:r>
      <w:bookmarkEnd w:id="18"/>
      <w:bookmarkEnd w:id="19"/>
    </w:p>
    <w:p>
      <w:pPr>
        <w:pStyle w:val="14"/>
        <w:rPr>
          <w:sz w:val="28"/>
          <w:szCs w:val="28"/>
        </w:rPr>
      </w:pPr>
      <w:r>
        <w:t> </w:t>
      </w:r>
      <w:r>
        <w:rPr>
          <w:rFonts w:hint="eastAsia"/>
        </w:rPr>
        <w:t xml:space="preserve">           </w:t>
      </w:r>
      <w:r>
        <w:rPr>
          <w:rFonts w:hint="eastAsia"/>
          <w:b/>
          <w:sz w:val="28"/>
          <w:szCs w:val="28"/>
        </w:rPr>
        <w:t>发电机并网同期方式分为准同期和自同期两种</w:t>
      </w:r>
    </w:p>
    <w:p>
      <w:pPr>
        <w:ind w:firstLine="420"/>
        <w:rPr>
          <w:rFonts w:ascii="Arial" w:hAnsi="Arial" w:cs="Arial"/>
          <w:bCs/>
          <w:color w:val="333333"/>
          <w:sz w:val="28"/>
          <w:szCs w:val="28"/>
          <w:shd w:val="clear" w:color="auto" w:fill="FFFFFF"/>
        </w:rPr>
      </w:pPr>
      <w:r>
        <w:rPr>
          <w:rFonts w:ascii="Arial" w:hAnsi="Arial" w:cs="Arial"/>
          <w:bCs/>
          <w:color w:val="333333"/>
          <w:sz w:val="28"/>
          <w:szCs w:val="28"/>
          <w:shd w:val="clear" w:color="auto" w:fill="FFFFFF"/>
        </w:rPr>
        <w:t>准同期并列是将未投入系统的发电机加上励磁，并调节其电压和频率，在满足并列条件（即电压、频率、相位相同）时，将发电机投入系统，如果在理想情况下，使发电机的出口开关合闸，则在发电机定子回路中的环流将为零，这样不会产生电流和电磁力矩的冲击。</w:t>
      </w:r>
      <w:r>
        <w:rPr>
          <w:rFonts w:ascii="Arial" w:hAnsi="Arial" w:cs="Arial"/>
          <w:sz w:val="28"/>
          <w:szCs w:val="28"/>
        </w:rPr>
        <w:t>准同期并列时间长，但冲击小。大型发电机应采用准同期方式。</w:t>
      </w:r>
    </w:p>
    <w:p>
      <w:pPr>
        <w:pStyle w:val="14"/>
        <w:ind w:firstLine="420"/>
        <w:rPr>
          <w:b/>
          <w:sz w:val="28"/>
          <w:szCs w:val="28"/>
        </w:rPr>
      </w:pPr>
      <w:r>
        <w:rPr>
          <w:rFonts w:hint="eastAsia"/>
          <w:sz w:val="28"/>
          <w:szCs w:val="28"/>
        </w:rPr>
        <w:t>自同期并列，先将轮发电机组转动起来，当转速上升至稍低于机组的额定转速时，就将断路器闭合，</w:t>
      </w:r>
      <w:r>
        <w:rPr>
          <w:rFonts w:hint="eastAsia"/>
          <w:color w:val="000000"/>
          <w:sz w:val="28"/>
          <w:szCs w:val="28"/>
        </w:rPr>
        <w:t>这时电力系统给发电机定子绕组送进三相冲击电流形成旋转磁超然后励磁系统再给发电机转子绕组送进直流电流产生磁超使电力系统将发电机拉入同步运行状态在并列过程中，发电机因有冲击电流而受到一定的损伤是自同期的缺点，优点是并列过程比较迅速。</w:t>
      </w:r>
      <w:r>
        <w:rPr>
          <w:rFonts w:ascii="Arial" w:hAnsi="Arial" w:cs="Arial"/>
          <w:sz w:val="28"/>
          <w:szCs w:val="28"/>
        </w:rPr>
        <w:t>自同期并列时间短，适于小水电的并</w:t>
      </w:r>
      <w:r>
        <w:rPr>
          <w:rFonts w:hint="eastAsia" w:ascii="Arial" w:hAnsi="Arial" w:cs="Arial"/>
          <w:sz w:val="28"/>
          <w:szCs w:val="28"/>
        </w:rPr>
        <w:t>网。</w:t>
      </w:r>
    </w:p>
    <w:p>
      <w:pPr>
        <w:pStyle w:val="14"/>
        <w:rPr>
          <w:b/>
          <w:sz w:val="28"/>
          <w:szCs w:val="28"/>
        </w:rPr>
      </w:pPr>
    </w:p>
    <w:sectPr>
      <w:footerReference r:id="rId5" w:type="first"/>
      <w:headerReference r:id="rId3" w:type="default"/>
      <w:footerReference r:id="rId4" w:type="default"/>
      <w:pgSz w:w="11906" w:h="16838"/>
      <w:pgMar w:top="1440" w:right="1800" w:bottom="1440" w:left="1800"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华文行楷">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hint="eastAsia" w:eastAsia="宋体"/>
        <w:sz w:val="28"/>
        <w:szCs w:val="28"/>
        <w:lang w:val="en-US" w:eastAsia="zh-CN"/>
      </w:rPr>
    </w:pPr>
    <w:r>
      <w:rPr>
        <w:sz w:val="28"/>
      </w:rPr>
      <w:pict>
        <v:shape id="_x0000_s2049" o:spid="_x0000_s2049"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weight="1.2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w:r>
    <w:r>
      <w:rPr>
        <w:rFonts w:hint="eastAsia"/>
        <w:sz w:val="28"/>
        <w:szCs w:val="28"/>
        <w:lang w:val="en-US" w:eastAsia="zh-CN"/>
      </w:rPr>
      <w:t>武汉华瑞远大电力设备有限公司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2050" o:spid="_x0000_s2050"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weight="1.25pt"/>
          <v:imagedata o:title=""/>
          <o:lock v:ext="edit" aspectratio="f"/>
          <v:textbox inset="0mm,0mm,0mm,0mm" style="mso-fit-shape-to-text:t;">
            <w:txbxContent>
              <w:p>
                <w:pPr>
                  <w:pStyle w:val="5"/>
                </w:pPr>
                <w:r>
                  <w:fldChar w:fldCharType="begin"/>
                </w:r>
                <w:r>
                  <w:instrText xml:space="preserve"> PAGE  \* MERGEFORMAT </w:instrText>
                </w:r>
                <w:r>
                  <w:fldChar w:fldCharType="separate"/>
                </w:r>
                <w:r>
                  <w:t>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宋体" w:hAnsi="宋体" w:cs="宋体"/>
        <w:b/>
        <w:kern w:val="0"/>
        <w:sz w:val="28"/>
        <w:szCs w:val="28"/>
        <w:lang w:val="en-US" w:eastAsia="zh-CN"/>
      </w:rPr>
      <w:t xml:space="preserve">                                  </w:t>
    </w:r>
    <w:r>
      <w:rPr>
        <w:rFonts w:hint="eastAsia" w:ascii="宋体" w:hAnsi="宋体" w:cs="宋体"/>
        <w:b/>
        <w:kern w:val="0"/>
        <w:sz w:val="28"/>
        <w:szCs w:val="28"/>
      </w:rPr>
      <w:t>HRYD-8600</w:t>
    </w:r>
    <w:r>
      <w:rPr>
        <w:rFonts w:ascii="宋体" w:hAnsi="宋体" w:cs="宋体"/>
        <w:b/>
        <w:kern w:val="0"/>
        <w:sz w:val="28"/>
        <w:szCs w:val="28"/>
      </w:rPr>
      <w:t xml:space="preserve"> </w:t>
    </w:r>
    <w:r>
      <w:rPr>
        <w:rFonts w:hint="eastAsia" w:ascii="宋体" w:hAnsi="宋体" w:cs="宋体"/>
        <w:b/>
        <w:kern w:val="0"/>
        <w:sz w:val="28"/>
        <w:szCs w:val="28"/>
      </w:rPr>
      <w:t>无线高压核相仪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F32A2"/>
    <w:multiLevelType w:val="singleLevel"/>
    <w:tmpl w:val="842F32A2"/>
    <w:lvl w:ilvl="0" w:tentative="0">
      <w:start w:val="1"/>
      <w:numFmt w:val="decimal"/>
      <w:suff w:val="nothing"/>
      <w:lvlText w:val="（%1）"/>
      <w:lvlJc w:val="left"/>
    </w:lvl>
  </w:abstractNum>
  <w:abstractNum w:abstractNumId="1">
    <w:nsid w:val="3C9E2116"/>
    <w:multiLevelType w:val="singleLevel"/>
    <w:tmpl w:val="3C9E2116"/>
    <w:lvl w:ilvl="0" w:tentative="0">
      <w:start w:val="1"/>
      <w:numFmt w:val="decimal"/>
      <w:suff w:val="nothing"/>
      <w:lvlText w:val="%1、"/>
      <w:lvlJc w:val="left"/>
    </w:lvl>
  </w:abstractNum>
  <w:abstractNum w:abstractNumId="2">
    <w:nsid w:val="54016616"/>
    <w:multiLevelType w:val="multilevel"/>
    <w:tmpl w:val="54016616"/>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F420171"/>
    <w:multiLevelType w:val="multilevel"/>
    <w:tmpl w:val="6F42017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E75D42"/>
    <w:rsid w:val="0000314C"/>
    <w:rsid w:val="00012271"/>
    <w:rsid w:val="00012DD2"/>
    <w:rsid w:val="000140A4"/>
    <w:rsid w:val="00017233"/>
    <w:rsid w:val="000179DB"/>
    <w:rsid w:val="00021FE5"/>
    <w:rsid w:val="000243F3"/>
    <w:rsid w:val="00026FF5"/>
    <w:rsid w:val="0002735F"/>
    <w:rsid w:val="000318CA"/>
    <w:rsid w:val="000324F5"/>
    <w:rsid w:val="0003468C"/>
    <w:rsid w:val="00035249"/>
    <w:rsid w:val="000428D7"/>
    <w:rsid w:val="0004432A"/>
    <w:rsid w:val="00045B57"/>
    <w:rsid w:val="00046048"/>
    <w:rsid w:val="00046692"/>
    <w:rsid w:val="00056ABE"/>
    <w:rsid w:val="00056E14"/>
    <w:rsid w:val="000571CB"/>
    <w:rsid w:val="0005782E"/>
    <w:rsid w:val="00062136"/>
    <w:rsid w:val="000629AC"/>
    <w:rsid w:val="000663D1"/>
    <w:rsid w:val="00066B81"/>
    <w:rsid w:val="0006798C"/>
    <w:rsid w:val="000734C5"/>
    <w:rsid w:val="000811C9"/>
    <w:rsid w:val="00081C8B"/>
    <w:rsid w:val="00086E87"/>
    <w:rsid w:val="00087AB7"/>
    <w:rsid w:val="00090F96"/>
    <w:rsid w:val="00091B11"/>
    <w:rsid w:val="00091BE6"/>
    <w:rsid w:val="00094A3D"/>
    <w:rsid w:val="0009501E"/>
    <w:rsid w:val="00095D05"/>
    <w:rsid w:val="00097A4A"/>
    <w:rsid w:val="00097D33"/>
    <w:rsid w:val="000A131C"/>
    <w:rsid w:val="000A3CC1"/>
    <w:rsid w:val="000A4E5E"/>
    <w:rsid w:val="000A6185"/>
    <w:rsid w:val="000A76FB"/>
    <w:rsid w:val="000A7B2E"/>
    <w:rsid w:val="000B302F"/>
    <w:rsid w:val="000B5C77"/>
    <w:rsid w:val="000B78C3"/>
    <w:rsid w:val="000C4305"/>
    <w:rsid w:val="000D2C17"/>
    <w:rsid w:val="000D46A0"/>
    <w:rsid w:val="000D6BF3"/>
    <w:rsid w:val="000E1019"/>
    <w:rsid w:val="000E21F1"/>
    <w:rsid w:val="000E2340"/>
    <w:rsid w:val="000E2E16"/>
    <w:rsid w:val="000E3BAF"/>
    <w:rsid w:val="000E51AA"/>
    <w:rsid w:val="000E6E76"/>
    <w:rsid w:val="000E75C6"/>
    <w:rsid w:val="000F04DB"/>
    <w:rsid w:val="000F1750"/>
    <w:rsid w:val="000F2AD1"/>
    <w:rsid w:val="000F416E"/>
    <w:rsid w:val="000F4E6E"/>
    <w:rsid w:val="000F7453"/>
    <w:rsid w:val="001039C2"/>
    <w:rsid w:val="00105F2E"/>
    <w:rsid w:val="00106CC2"/>
    <w:rsid w:val="001108D7"/>
    <w:rsid w:val="00111363"/>
    <w:rsid w:val="00111D24"/>
    <w:rsid w:val="00112FFC"/>
    <w:rsid w:val="00113077"/>
    <w:rsid w:val="001139F8"/>
    <w:rsid w:val="00115A4D"/>
    <w:rsid w:val="0012049E"/>
    <w:rsid w:val="001220CC"/>
    <w:rsid w:val="00126287"/>
    <w:rsid w:val="00134EE6"/>
    <w:rsid w:val="00140486"/>
    <w:rsid w:val="001419F1"/>
    <w:rsid w:val="00141AE8"/>
    <w:rsid w:val="00141E8B"/>
    <w:rsid w:val="0014209F"/>
    <w:rsid w:val="00145319"/>
    <w:rsid w:val="00145E8C"/>
    <w:rsid w:val="00145F6D"/>
    <w:rsid w:val="0014744F"/>
    <w:rsid w:val="001505BD"/>
    <w:rsid w:val="00151280"/>
    <w:rsid w:val="001514EB"/>
    <w:rsid w:val="0015154D"/>
    <w:rsid w:val="00151986"/>
    <w:rsid w:val="00154F8F"/>
    <w:rsid w:val="00156742"/>
    <w:rsid w:val="00157ADA"/>
    <w:rsid w:val="00157B23"/>
    <w:rsid w:val="001629A7"/>
    <w:rsid w:val="0016363A"/>
    <w:rsid w:val="00167E7C"/>
    <w:rsid w:val="00171C16"/>
    <w:rsid w:val="00175F09"/>
    <w:rsid w:val="001814E0"/>
    <w:rsid w:val="00181640"/>
    <w:rsid w:val="00181913"/>
    <w:rsid w:val="00181CDD"/>
    <w:rsid w:val="00181F46"/>
    <w:rsid w:val="00182486"/>
    <w:rsid w:val="0018265D"/>
    <w:rsid w:val="0018278F"/>
    <w:rsid w:val="00185E30"/>
    <w:rsid w:val="001869EE"/>
    <w:rsid w:val="00186B63"/>
    <w:rsid w:val="0019195C"/>
    <w:rsid w:val="001932F1"/>
    <w:rsid w:val="00193A47"/>
    <w:rsid w:val="00196A07"/>
    <w:rsid w:val="001A0991"/>
    <w:rsid w:val="001A29DF"/>
    <w:rsid w:val="001A323B"/>
    <w:rsid w:val="001A359C"/>
    <w:rsid w:val="001A3C1B"/>
    <w:rsid w:val="001A490F"/>
    <w:rsid w:val="001A4D55"/>
    <w:rsid w:val="001A4E19"/>
    <w:rsid w:val="001A7432"/>
    <w:rsid w:val="001A74E5"/>
    <w:rsid w:val="001B0254"/>
    <w:rsid w:val="001B06A5"/>
    <w:rsid w:val="001B1C19"/>
    <w:rsid w:val="001B387B"/>
    <w:rsid w:val="001B39B8"/>
    <w:rsid w:val="001B4769"/>
    <w:rsid w:val="001B7069"/>
    <w:rsid w:val="001C1810"/>
    <w:rsid w:val="001C3017"/>
    <w:rsid w:val="001C30C4"/>
    <w:rsid w:val="001C3D9E"/>
    <w:rsid w:val="001C4F9C"/>
    <w:rsid w:val="001D54FC"/>
    <w:rsid w:val="001E13C3"/>
    <w:rsid w:val="001E1F6C"/>
    <w:rsid w:val="001E3B5F"/>
    <w:rsid w:val="001E5062"/>
    <w:rsid w:val="001F1444"/>
    <w:rsid w:val="001F7033"/>
    <w:rsid w:val="002004FC"/>
    <w:rsid w:val="00205819"/>
    <w:rsid w:val="002077FE"/>
    <w:rsid w:val="00207DDA"/>
    <w:rsid w:val="00213590"/>
    <w:rsid w:val="00214D1F"/>
    <w:rsid w:val="00215498"/>
    <w:rsid w:val="00217E35"/>
    <w:rsid w:val="0022079E"/>
    <w:rsid w:val="0022790A"/>
    <w:rsid w:val="002305A0"/>
    <w:rsid w:val="002311ED"/>
    <w:rsid w:val="002319A1"/>
    <w:rsid w:val="0023646B"/>
    <w:rsid w:val="00237453"/>
    <w:rsid w:val="00237E6D"/>
    <w:rsid w:val="00241C71"/>
    <w:rsid w:val="002425AF"/>
    <w:rsid w:val="00247AEB"/>
    <w:rsid w:val="00250A36"/>
    <w:rsid w:val="00250B45"/>
    <w:rsid w:val="00254024"/>
    <w:rsid w:val="0025603B"/>
    <w:rsid w:val="00256F0B"/>
    <w:rsid w:val="00257D2C"/>
    <w:rsid w:val="00261AC7"/>
    <w:rsid w:val="002624E4"/>
    <w:rsid w:val="00262A4F"/>
    <w:rsid w:val="00265ED5"/>
    <w:rsid w:val="00270E3B"/>
    <w:rsid w:val="0027222A"/>
    <w:rsid w:val="0027282A"/>
    <w:rsid w:val="00273CE0"/>
    <w:rsid w:val="0028515A"/>
    <w:rsid w:val="0028659F"/>
    <w:rsid w:val="0029182F"/>
    <w:rsid w:val="00294263"/>
    <w:rsid w:val="002A2FE3"/>
    <w:rsid w:val="002A367B"/>
    <w:rsid w:val="002A4381"/>
    <w:rsid w:val="002A508C"/>
    <w:rsid w:val="002A54B1"/>
    <w:rsid w:val="002A5E2C"/>
    <w:rsid w:val="002A5EE3"/>
    <w:rsid w:val="002A5FE1"/>
    <w:rsid w:val="002B029F"/>
    <w:rsid w:val="002B066C"/>
    <w:rsid w:val="002B0CF5"/>
    <w:rsid w:val="002B2BC6"/>
    <w:rsid w:val="002B603F"/>
    <w:rsid w:val="002B7EF5"/>
    <w:rsid w:val="002C0024"/>
    <w:rsid w:val="002C2AFE"/>
    <w:rsid w:val="002C68E6"/>
    <w:rsid w:val="002C6A4E"/>
    <w:rsid w:val="002D0E06"/>
    <w:rsid w:val="002D14B0"/>
    <w:rsid w:val="002D3CA2"/>
    <w:rsid w:val="002D747D"/>
    <w:rsid w:val="002E1814"/>
    <w:rsid w:val="002E292E"/>
    <w:rsid w:val="002E443F"/>
    <w:rsid w:val="002E469E"/>
    <w:rsid w:val="002E49E5"/>
    <w:rsid w:val="002E5B92"/>
    <w:rsid w:val="002F2CD7"/>
    <w:rsid w:val="002F3ADB"/>
    <w:rsid w:val="002F4176"/>
    <w:rsid w:val="002F439C"/>
    <w:rsid w:val="002F486A"/>
    <w:rsid w:val="002F6F7B"/>
    <w:rsid w:val="00301783"/>
    <w:rsid w:val="00301979"/>
    <w:rsid w:val="003027A7"/>
    <w:rsid w:val="00304645"/>
    <w:rsid w:val="00306271"/>
    <w:rsid w:val="00307EC3"/>
    <w:rsid w:val="00311B25"/>
    <w:rsid w:val="00315E6D"/>
    <w:rsid w:val="00326567"/>
    <w:rsid w:val="00326595"/>
    <w:rsid w:val="00326887"/>
    <w:rsid w:val="003274AB"/>
    <w:rsid w:val="00327EC5"/>
    <w:rsid w:val="0033128F"/>
    <w:rsid w:val="00334C8C"/>
    <w:rsid w:val="00335596"/>
    <w:rsid w:val="003405FA"/>
    <w:rsid w:val="0034071B"/>
    <w:rsid w:val="0034075D"/>
    <w:rsid w:val="00340CA7"/>
    <w:rsid w:val="003417BF"/>
    <w:rsid w:val="00344B00"/>
    <w:rsid w:val="00347A34"/>
    <w:rsid w:val="0035075D"/>
    <w:rsid w:val="00352C99"/>
    <w:rsid w:val="00353C62"/>
    <w:rsid w:val="003606E4"/>
    <w:rsid w:val="00361268"/>
    <w:rsid w:val="003631BE"/>
    <w:rsid w:val="00363D8E"/>
    <w:rsid w:val="00364865"/>
    <w:rsid w:val="003659A5"/>
    <w:rsid w:val="00365DFF"/>
    <w:rsid w:val="00372466"/>
    <w:rsid w:val="00372A60"/>
    <w:rsid w:val="00372C99"/>
    <w:rsid w:val="00374F39"/>
    <w:rsid w:val="0037769D"/>
    <w:rsid w:val="003806B6"/>
    <w:rsid w:val="0038487C"/>
    <w:rsid w:val="00385F70"/>
    <w:rsid w:val="003871A3"/>
    <w:rsid w:val="003963A7"/>
    <w:rsid w:val="003A1858"/>
    <w:rsid w:val="003A211C"/>
    <w:rsid w:val="003A6109"/>
    <w:rsid w:val="003A63A1"/>
    <w:rsid w:val="003A65E4"/>
    <w:rsid w:val="003A6EB2"/>
    <w:rsid w:val="003B1593"/>
    <w:rsid w:val="003B30D3"/>
    <w:rsid w:val="003B6EC9"/>
    <w:rsid w:val="003C0E3C"/>
    <w:rsid w:val="003C147C"/>
    <w:rsid w:val="003C59D6"/>
    <w:rsid w:val="003D1B34"/>
    <w:rsid w:val="003D2E02"/>
    <w:rsid w:val="003D2E94"/>
    <w:rsid w:val="003D33ED"/>
    <w:rsid w:val="003D3C82"/>
    <w:rsid w:val="003D44E1"/>
    <w:rsid w:val="003E2049"/>
    <w:rsid w:val="003E23D0"/>
    <w:rsid w:val="003E3187"/>
    <w:rsid w:val="003E42EA"/>
    <w:rsid w:val="003E48A3"/>
    <w:rsid w:val="003F54AC"/>
    <w:rsid w:val="003F5A45"/>
    <w:rsid w:val="003F6D34"/>
    <w:rsid w:val="003F7B60"/>
    <w:rsid w:val="004029F4"/>
    <w:rsid w:val="00403729"/>
    <w:rsid w:val="004068E0"/>
    <w:rsid w:val="00406B1A"/>
    <w:rsid w:val="00411130"/>
    <w:rsid w:val="004111B6"/>
    <w:rsid w:val="00412B87"/>
    <w:rsid w:val="00413348"/>
    <w:rsid w:val="004147E1"/>
    <w:rsid w:val="00416490"/>
    <w:rsid w:val="004265C0"/>
    <w:rsid w:val="00426B19"/>
    <w:rsid w:val="00426EE4"/>
    <w:rsid w:val="004336B3"/>
    <w:rsid w:val="00433AB7"/>
    <w:rsid w:val="004342C6"/>
    <w:rsid w:val="00440416"/>
    <w:rsid w:val="00441617"/>
    <w:rsid w:val="0044298E"/>
    <w:rsid w:val="00443235"/>
    <w:rsid w:val="0044424B"/>
    <w:rsid w:val="00450053"/>
    <w:rsid w:val="004506F0"/>
    <w:rsid w:val="00454000"/>
    <w:rsid w:val="0045586A"/>
    <w:rsid w:val="00460238"/>
    <w:rsid w:val="00462042"/>
    <w:rsid w:val="00464647"/>
    <w:rsid w:val="00467D8D"/>
    <w:rsid w:val="00472215"/>
    <w:rsid w:val="00472892"/>
    <w:rsid w:val="00476212"/>
    <w:rsid w:val="0047630F"/>
    <w:rsid w:val="00477AC1"/>
    <w:rsid w:val="0048230D"/>
    <w:rsid w:val="004849AB"/>
    <w:rsid w:val="00484AC4"/>
    <w:rsid w:val="004863CB"/>
    <w:rsid w:val="004872E3"/>
    <w:rsid w:val="00490947"/>
    <w:rsid w:val="00490EB8"/>
    <w:rsid w:val="00491630"/>
    <w:rsid w:val="00497C4C"/>
    <w:rsid w:val="004A2BC5"/>
    <w:rsid w:val="004A31BF"/>
    <w:rsid w:val="004A4037"/>
    <w:rsid w:val="004A49A9"/>
    <w:rsid w:val="004A66C9"/>
    <w:rsid w:val="004A7852"/>
    <w:rsid w:val="004B1C02"/>
    <w:rsid w:val="004B3929"/>
    <w:rsid w:val="004B6523"/>
    <w:rsid w:val="004B6C21"/>
    <w:rsid w:val="004B7718"/>
    <w:rsid w:val="004B799B"/>
    <w:rsid w:val="004C3CB4"/>
    <w:rsid w:val="004C3CF9"/>
    <w:rsid w:val="004C73F8"/>
    <w:rsid w:val="004D1266"/>
    <w:rsid w:val="004D54A0"/>
    <w:rsid w:val="004D575C"/>
    <w:rsid w:val="004D6003"/>
    <w:rsid w:val="004D7177"/>
    <w:rsid w:val="004E4CE1"/>
    <w:rsid w:val="004E7FDC"/>
    <w:rsid w:val="004F0600"/>
    <w:rsid w:val="004F1FF3"/>
    <w:rsid w:val="004F3F9C"/>
    <w:rsid w:val="004F4772"/>
    <w:rsid w:val="004F71C5"/>
    <w:rsid w:val="004F7AA8"/>
    <w:rsid w:val="004F7F77"/>
    <w:rsid w:val="005056C8"/>
    <w:rsid w:val="00505AF8"/>
    <w:rsid w:val="005067E7"/>
    <w:rsid w:val="00510610"/>
    <w:rsid w:val="00512A8D"/>
    <w:rsid w:val="005133CC"/>
    <w:rsid w:val="00515327"/>
    <w:rsid w:val="00517364"/>
    <w:rsid w:val="00522E44"/>
    <w:rsid w:val="005248EC"/>
    <w:rsid w:val="00525338"/>
    <w:rsid w:val="00527A46"/>
    <w:rsid w:val="00531704"/>
    <w:rsid w:val="005317C6"/>
    <w:rsid w:val="0053350D"/>
    <w:rsid w:val="0053395D"/>
    <w:rsid w:val="00541175"/>
    <w:rsid w:val="0054559B"/>
    <w:rsid w:val="005466DE"/>
    <w:rsid w:val="00553A02"/>
    <w:rsid w:val="005559BD"/>
    <w:rsid w:val="005568A1"/>
    <w:rsid w:val="005569F6"/>
    <w:rsid w:val="00556B8F"/>
    <w:rsid w:val="00556E57"/>
    <w:rsid w:val="00560722"/>
    <w:rsid w:val="005620AF"/>
    <w:rsid w:val="00562C69"/>
    <w:rsid w:val="0056368A"/>
    <w:rsid w:val="00565D3D"/>
    <w:rsid w:val="00570779"/>
    <w:rsid w:val="00570AB3"/>
    <w:rsid w:val="00570B11"/>
    <w:rsid w:val="0057120E"/>
    <w:rsid w:val="0057140C"/>
    <w:rsid w:val="0057332E"/>
    <w:rsid w:val="00573427"/>
    <w:rsid w:val="00573C99"/>
    <w:rsid w:val="00576818"/>
    <w:rsid w:val="00576D59"/>
    <w:rsid w:val="00577762"/>
    <w:rsid w:val="00582E25"/>
    <w:rsid w:val="00582F99"/>
    <w:rsid w:val="00584736"/>
    <w:rsid w:val="0059148C"/>
    <w:rsid w:val="00591984"/>
    <w:rsid w:val="005931CD"/>
    <w:rsid w:val="005A1247"/>
    <w:rsid w:val="005A225C"/>
    <w:rsid w:val="005A319E"/>
    <w:rsid w:val="005A4BC4"/>
    <w:rsid w:val="005A638F"/>
    <w:rsid w:val="005A6672"/>
    <w:rsid w:val="005A6E84"/>
    <w:rsid w:val="005B40EC"/>
    <w:rsid w:val="005B67CF"/>
    <w:rsid w:val="005B733B"/>
    <w:rsid w:val="005C1E0D"/>
    <w:rsid w:val="005C4885"/>
    <w:rsid w:val="005C7159"/>
    <w:rsid w:val="005D0A13"/>
    <w:rsid w:val="005D132C"/>
    <w:rsid w:val="005D15E7"/>
    <w:rsid w:val="005D42C7"/>
    <w:rsid w:val="005D46D8"/>
    <w:rsid w:val="005D7F77"/>
    <w:rsid w:val="005E33D3"/>
    <w:rsid w:val="005E3A18"/>
    <w:rsid w:val="005E5071"/>
    <w:rsid w:val="005E70BC"/>
    <w:rsid w:val="005F3CD2"/>
    <w:rsid w:val="005F51EC"/>
    <w:rsid w:val="006073CC"/>
    <w:rsid w:val="00614B3D"/>
    <w:rsid w:val="00620F19"/>
    <w:rsid w:val="0062352F"/>
    <w:rsid w:val="00623C32"/>
    <w:rsid w:val="00627AD8"/>
    <w:rsid w:val="006307DC"/>
    <w:rsid w:val="0063555B"/>
    <w:rsid w:val="00637AD0"/>
    <w:rsid w:val="00642788"/>
    <w:rsid w:val="00642FF3"/>
    <w:rsid w:val="00654325"/>
    <w:rsid w:val="00654883"/>
    <w:rsid w:val="00655870"/>
    <w:rsid w:val="006558DD"/>
    <w:rsid w:val="00656A18"/>
    <w:rsid w:val="00656A63"/>
    <w:rsid w:val="00656EC6"/>
    <w:rsid w:val="006575A8"/>
    <w:rsid w:val="00660EE7"/>
    <w:rsid w:val="00662BFB"/>
    <w:rsid w:val="00663836"/>
    <w:rsid w:val="0066423F"/>
    <w:rsid w:val="006672B1"/>
    <w:rsid w:val="00667BF4"/>
    <w:rsid w:val="00677373"/>
    <w:rsid w:val="0068022D"/>
    <w:rsid w:val="00680634"/>
    <w:rsid w:val="00681132"/>
    <w:rsid w:val="00682FB2"/>
    <w:rsid w:val="006837C0"/>
    <w:rsid w:val="00683FF2"/>
    <w:rsid w:val="00685C54"/>
    <w:rsid w:val="00687E94"/>
    <w:rsid w:val="00691E8A"/>
    <w:rsid w:val="006946D0"/>
    <w:rsid w:val="00696AC2"/>
    <w:rsid w:val="006A0428"/>
    <w:rsid w:val="006A0469"/>
    <w:rsid w:val="006A3E7B"/>
    <w:rsid w:val="006B2139"/>
    <w:rsid w:val="006B2DA0"/>
    <w:rsid w:val="006B44ED"/>
    <w:rsid w:val="006B45A4"/>
    <w:rsid w:val="006B4D5F"/>
    <w:rsid w:val="006C1336"/>
    <w:rsid w:val="006C22F8"/>
    <w:rsid w:val="006C43E3"/>
    <w:rsid w:val="006C4E00"/>
    <w:rsid w:val="006C75A1"/>
    <w:rsid w:val="006D2296"/>
    <w:rsid w:val="006D2984"/>
    <w:rsid w:val="006D3131"/>
    <w:rsid w:val="006D368E"/>
    <w:rsid w:val="006D6183"/>
    <w:rsid w:val="006D77CA"/>
    <w:rsid w:val="006D7961"/>
    <w:rsid w:val="006D7CEE"/>
    <w:rsid w:val="006E0775"/>
    <w:rsid w:val="006E08D2"/>
    <w:rsid w:val="006E0935"/>
    <w:rsid w:val="006E1871"/>
    <w:rsid w:val="006E1C75"/>
    <w:rsid w:val="006E39D2"/>
    <w:rsid w:val="006E44A9"/>
    <w:rsid w:val="006E4FBF"/>
    <w:rsid w:val="006E6A5E"/>
    <w:rsid w:val="006E6AFF"/>
    <w:rsid w:val="006E7E36"/>
    <w:rsid w:val="006F17A8"/>
    <w:rsid w:val="007013C1"/>
    <w:rsid w:val="00705E7B"/>
    <w:rsid w:val="007064F9"/>
    <w:rsid w:val="00714455"/>
    <w:rsid w:val="00721378"/>
    <w:rsid w:val="007250AA"/>
    <w:rsid w:val="00725814"/>
    <w:rsid w:val="00725BCC"/>
    <w:rsid w:val="00730C2C"/>
    <w:rsid w:val="00730F23"/>
    <w:rsid w:val="00730FF7"/>
    <w:rsid w:val="00731F70"/>
    <w:rsid w:val="0073259C"/>
    <w:rsid w:val="007334DB"/>
    <w:rsid w:val="007429FB"/>
    <w:rsid w:val="00743A4F"/>
    <w:rsid w:val="00753739"/>
    <w:rsid w:val="00755568"/>
    <w:rsid w:val="007567C9"/>
    <w:rsid w:val="007664B0"/>
    <w:rsid w:val="00766AFC"/>
    <w:rsid w:val="007710AB"/>
    <w:rsid w:val="007717C2"/>
    <w:rsid w:val="00772B3A"/>
    <w:rsid w:val="00773996"/>
    <w:rsid w:val="00773FFF"/>
    <w:rsid w:val="00774AB6"/>
    <w:rsid w:val="00776A21"/>
    <w:rsid w:val="00777962"/>
    <w:rsid w:val="007804E2"/>
    <w:rsid w:val="007814BE"/>
    <w:rsid w:val="00784141"/>
    <w:rsid w:val="00785D92"/>
    <w:rsid w:val="00786506"/>
    <w:rsid w:val="00786612"/>
    <w:rsid w:val="00787399"/>
    <w:rsid w:val="00792AAF"/>
    <w:rsid w:val="00793092"/>
    <w:rsid w:val="007945F3"/>
    <w:rsid w:val="00795938"/>
    <w:rsid w:val="0079648F"/>
    <w:rsid w:val="0079653F"/>
    <w:rsid w:val="007A1514"/>
    <w:rsid w:val="007A5A6A"/>
    <w:rsid w:val="007A68AC"/>
    <w:rsid w:val="007A729E"/>
    <w:rsid w:val="007A7341"/>
    <w:rsid w:val="007B5C36"/>
    <w:rsid w:val="007B5FC4"/>
    <w:rsid w:val="007B61B9"/>
    <w:rsid w:val="007B7043"/>
    <w:rsid w:val="007B7A6A"/>
    <w:rsid w:val="007C4B2E"/>
    <w:rsid w:val="007D1156"/>
    <w:rsid w:val="007D20BC"/>
    <w:rsid w:val="007D38A1"/>
    <w:rsid w:val="007D3D00"/>
    <w:rsid w:val="007D52F6"/>
    <w:rsid w:val="007D648D"/>
    <w:rsid w:val="007E44AB"/>
    <w:rsid w:val="007E4AB4"/>
    <w:rsid w:val="007E5F59"/>
    <w:rsid w:val="007E6AA2"/>
    <w:rsid w:val="007E6AE8"/>
    <w:rsid w:val="007E72AC"/>
    <w:rsid w:val="007F1076"/>
    <w:rsid w:val="007F7538"/>
    <w:rsid w:val="007F7FD4"/>
    <w:rsid w:val="00800FA7"/>
    <w:rsid w:val="008059B7"/>
    <w:rsid w:val="00806826"/>
    <w:rsid w:val="008074DE"/>
    <w:rsid w:val="008128EF"/>
    <w:rsid w:val="00813585"/>
    <w:rsid w:val="00813DD7"/>
    <w:rsid w:val="00814634"/>
    <w:rsid w:val="008213E0"/>
    <w:rsid w:val="008256FC"/>
    <w:rsid w:val="00825FB1"/>
    <w:rsid w:val="00832287"/>
    <w:rsid w:val="00836797"/>
    <w:rsid w:val="0084035B"/>
    <w:rsid w:val="0084179C"/>
    <w:rsid w:val="00844C6F"/>
    <w:rsid w:val="00845670"/>
    <w:rsid w:val="008470E7"/>
    <w:rsid w:val="00851150"/>
    <w:rsid w:val="00854104"/>
    <w:rsid w:val="008548B3"/>
    <w:rsid w:val="00855AF2"/>
    <w:rsid w:val="0085614B"/>
    <w:rsid w:val="008565D4"/>
    <w:rsid w:val="00856F84"/>
    <w:rsid w:val="00857F3F"/>
    <w:rsid w:val="00860B16"/>
    <w:rsid w:val="00861504"/>
    <w:rsid w:val="0086167A"/>
    <w:rsid w:val="0086195F"/>
    <w:rsid w:val="00862DFA"/>
    <w:rsid w:val="00863431"/>
    <w:rsid w:val="00864550"/>
    <w:rsid w:val="0086598F"/>
    <w:rsid w:val="00866598"/>
    <w:rsid w:val="0087418A"/>
    <w:rsid w:val="008744C2"/>
    <w:rsid w:val="008758ED"/>
    <w:rsid w:val="00877143"/>
    <w:rsid w:val="00880BE5"/>
    <w:rsid w:val="0088249F"/>
    <w:rsid w:val="00885EF9"/>
    <w:rsid w:val="00887799"/>
    <w:rsid w:val="0089021C"/>
    <w:rsid w:val="00892061"/>
    <w:rsid w:val="008923B0"/>
    <w:rsid w:val="00893449"/>
    <w:rsid w:val="00895164"/>
    <w:rsid w:val="008A030F"/>
    <w:rsid w:val="008A24D8"/>
    <w:rsid w:val="008A323B"/>
    <w:rsid w:val="008A54C6"/>
    <w:rsid w:val="008A557B"/>
    <w:rsid w:val="008A724C"/>
    <w:rsid w:val="008B515C"/>
    <w:rsid w:val="008B6550"/>
    <w:rsid w:val="008C2D85"/>
    <w:rsid w:val="008C3AF2"/>
    <w:rsid w:val="008D0878"/>
    <w:rsid w:val="008D1A2B"/>
    <w:rsid w:val="008D2B2D"/>
    <w:rsid w:val="008D407F"/>
    <w:rsid w:val="008D410B"/>
    <w:rsid w:val="008D65D5"/>
    <w:rsid w:val="008E2100"/>
    <w:rsid w:val="008E2473"/>
    <w:rsid w:val="008E24E7"/>
    <w:rsid w:val="008E266B"/>
    <w:rsid w:val="008E2DFF"/>
    <w:rsid w:val="008E3FCC"/>
    <w:rsid w:val="008E5C20"/>
    <w:rsid w:val="008F138D"/>
    <w:rsid w:val="008F1602"/>
    <w:rsid w:val="008F2E45"/>
    <w:rsid w:val="008F38ED"/>
    <w:rsid w:val="008F6302"/>
    <w:rsid w:val="0090035A"/>
    <w:rsid w:val="0090063A"/>
    <w:rsid w:val="009026FF"/>
    <w:rsid w:val="00902EB1"/>
    <w:rsid w:val="00903A6F"/>
    <w:rsid w:val="00905A11"/>
    <w:rsid w:val="00910A13"/>
    <w:rsid w:val="0091223A"/>
    <w:rsid w:val="00912388"/>
    <w:rsid w:val="00913356"/>
    <w:rsid w:val="009142E1"/>
    <w:rsid w:val="009208EA"/>
    <w:rsid w:val="009274CA"/>
    <w:rsid w:val="0093079F"/>
    <w:rsid w:val="00932F1C"/>
    <w:rsid w:val="00933D35"/>
    <w:rsid w:val="00933DAA"/>
    <w:rsid w:val="00937E28"/>
    <w:rsid w:val="00940CC9"/>
    <w:rsid w:val="009415DB"/>
    <w:rsid w:val="009418C7"/>
    <w:rsid w:val="0094234B"/>
    <w:rsid w:val="00942AF2"/>
    <w:rsid w:val="0094374D"/>
    <w:rsid w:val="00945321"/>
    <w:rsid w:val="00950A25"/>
    <w:rsid w:val="00950CE3"/>
    <w:rsid w:val="009522B8"/>
    <w:rsid w:val="0095239C"/>
    <w:rsid w:val="00953E0D"/>
    <w:rsid w:val="00954C9D"/>
    <w:rsid w:val="0095553C"/>
    <w:rsid w:val="00956B6F"/>
    <w:rsid w:val="00956DE0"/>
    <w:rsid w:val="00956ED0"/>
    <w:rsid w:val="00961B10"/>
    <w:rsid w:val="009623AB"/>
    <w:rsid w:val="009631B7"/>
    <w:rsid w:val="00967017"/>
    <w:rsid w:val="0096784D"/>
    <w:rsid w:val="009704D7"/>
    <w:rsid w:val="009719EA"/>
    <w:rsid w:val="00973F83"/>
    <w:rsid w:val="00975AE4"/>
    <w:rsid w:val="009818B0"/>
    <w:rsid w:val="009840A4"/>
    <w:rsid w:val="00984726"/>
    <w:rsid w:val="00985920"/>
    <w:rsid w:val="00986CEE"/>
    <w:rsid w:val="00990AEA"/>
    <w:rsid w:val="0099291C"/>
    <w:rsid w:val="0099311C"/>
    <w:rsid w:val="009946B7"/>
    <w:rsid w:val="009A1F1E"/>
    <w:rsid w:val="009A20F2"/>
    <w:rsid w:val="009A34D3"/>
    <w:rsid w:val="009A34D9"/>
    <w:rsid w:val="009B5690"/>
    <w:rsid w:val="009C0F10"/>
    <w:rsid w:val="009C234E"/>
    <w:rsid w:val="009C3003"/>
    <w:rsid w:val="009C5D12"/>
    <w:rsid w:val="009C6B69"/>
    <w:rsid w:val="009C7CFD"/>
    <w:rsid w:val="009D0D4B"/>
    <w:rsid w:val="009D23D5"/>
    <w:rsid w:val="009D2974"/>
    <w:rsid w:val="009D469C"/>
    <w:rsid w:val="009D6D7C"/>
    <w:rsid w:val="009E0929"/>
    <w:rsid w:val="009E18C8"/>
    <w:rsid w:val="009E51E5"/>
    <w:rsid w:val="009E6598"/>
    <w:rsid w:val="009F029E"/>
    <w:rsid w:val="009F0B94"/>
    <w:rsid w:val="009F32FB"/>
    <w:rsid w:val="009F35B5"/>
    <w:rsid w:val="00A00FC6"/>
    <w:rsid w:val="00A0480D"/>
    <w:rsid w:val="00A05DA5"/>
    <w:rsid w:val="00A061FE"/>
    <w:rsid w:val="00A10BC2"/>
    <w:rsid w:val="00A11A62"/>
    <w:rsid w:val="00A12CCC"/>
    <w:rsid w:val="00A13383"/>
    <w:rsid w:val="00A14019"/>
    <w:rsid w:val="00A15A44"/>
    <w:rsid w:val="00A178FA"/>
    <w:rsid w:val="00A21C5F"/>
    <w:rsid w:val="00A230AD"/>
    <w:rsid w:val="00A249A6"/>
    <w:rsid w:val="00A2645E"/>
    <w:rsid w:val="00A2666F"/>
    <w:rsid w:val="00A325B7"/>
    <w:rsid w:val="00A35CA6"/>
    <w:rsid w:val="00A364E1"/>
    <w:rsid w:val="00A375D8"/>
    <w:rsid w:val="00A37B09"/>
    <w:rsid w:val="00A41C51"/>
    <w:rsid w:val="00A42FC6"/>
    <w:rsid w:val="00A43C28"/>
    <w:rsid w:val="00A444E0"/>
    <w:rsid w:val="00A457BA"/>
    <w:rsid w:val="00A47E8C"/>
    <w:rsid w:val="00A51C9C"/>
    <w:rsid w:val="00A55A22"/>
    <w:rsid w:val="00A562BE"/>
    <w:rsid w:val="00A57CC6"/>
    <w:rsid w:val="00A6388C"/>
    <w:rsid w:val="00A63CEC"/>
    <w:rsid w:val="00A653F5"/>
    <w:rsid w:val="00A670BE"/>
    <w:rsid w:val="00A71FFF"/>
    <w:rsid w:val="00A75374"/>
    <w:rsid w:val="00A80F10"/>
    <w:rsid w:val="00A84135"/>
    <w:rsid w:val="00A845AF"/>
    <w:rsid w:val="00A85230"/>
    <w:rsid w:val="00A8574B"/>
    <w:rsid w:val="00A865B1"/>
    <w:rsid w:val="00A8726C"/>
    <w:rsid w:val="00A87C00"/>
    <w:rsid w:val="00A90905"/>
    <w:rsid w:val="00A91901"/>
    <w:rsid w:val="00A9252B"/>
    <w:rsid w:val="00A95B80"/>
    <w:rsid w:val="00A96714"/>
    <w:rsid w:val="00A97683"/>
    <w:rsid w:val="00AA4679"/>
    <w:rsid w:val="00AA4DF1"/>
    <w:rsid w:val="00AA532C"/>
    <w:rsid w:val="00AA5708"/>
    <w:rsid w:val="00AB0BA4"/>
    <w:rsid w:val="00AB2FA6"/>
    <w:rsid w:val="00AB2FDA"/>
    <w:rsid w:val="00AB327C"/>
    <w:rsid w:val="00AC1250"/>
    <w:rsid w:val="00AC2122"/>
    <w:rsid w:val="00AC51C8"/>
    <w:rsid w:val="00AD2D77"/>
    <w:rsid w:val="00AD3D78"/>
    <w:rsid w:val="00AD4CE5"/>
    <w:rsid w:val="00AD602E"/>
    <w:rsid w:val="00AD7A65"/>
    <w:rsid w:val="00AE2CCA"/>
    <w:rsid w:val="00AE2D17"/>
    <w:rsid w:val="00AE3EDD"/>
    <w:rsid w:val="00AE43F6"/>
    <w:rsid w:val="00AE5104"/>
    <w:rsid w:val="00AE6EB1"/>
    <w:rsid w:val="00AE7CED"/>
    <w:rsid w:val="00AF24F0"/>
    <w:rsid w:val="00AF2A9B"/>
    <w:rsid w:val="00AF3A50"/>
    <w:rsid w:val="00AF77D4"/>
    <w:rsid w:val="00B00C20"/>
    <w:rsid w:val="00B012CF"/>
    <w:rsid w:val="00B03B17"/>
    <w:rsid w:val="00B04351"/>
    <w:rsid w:val="00B043EA"/>
    <w:rsid w:val="00B059E0"/>
    <w:rsid w:val="00B05A90"/>
    <w:rsid w:val="00B05DE6"/>
    <w:rsid w:val="00B05FB6"/>
    <w:rsid w:val="00B07C20"/>
    <w:rsid w:val="00B106D0"/>
    <w:rsid w:val="00B110E5"/>
    <w:rsid w:val="00B119B9"/>
    <w:rsid w:val="00B17BDC"/>
    <w:rsid w:val="00B20810"/>
    <w:rsid w:val="00B20B45"/>
    <w:rsid w:val="00B20DC5"/>
    <w:rsid w:val="00B2380F"/>
    <w:rsid w:val="00B254CF"/>
    <w:rsid w:val="00B25DF4"/>
    <w:rsid w:val="00B31F8E"/>
    <w:rsid w:val="00B33013"/>
    <w:rsid w:val="00B342ED"/>
    <w:rsid w:val="00B348CA"/>
    <w:rsid w:val="00B348DA"/>
    <w:rsid w:val="00B3559C"/>
    <w:rsid w:val="00B42567"/>
    <w:rsid w:val="00B42961"/>
    <w:rsid w:val="00B4345A"/>
    <w:rsid w:val="00B44DBE"/>
    <w:rsid w:val="00B463F6"/>
    <w:rsid w:val="00B5256A"/>
    <w:rsid w:val="00B53BAD"/>
    <w:rsid w:val="00B578CC"/>
    <w:rsid w:val="00B66EAC"/>
    <w:rsid w:val="00B706D7"/>
    <w:rsid w:val="00B72AED"/>
    <w:rsid w:val="00B7463F"/>
    <w:rsid w:val="00B74EAF"/>
    <w:rsid w:val="00B761A3"/>
    <w:rsid w:val="00B765FC"/>
    <w:rsid w:val="00B802C0"/>
    <w:rsid w:val="00B8086D"/>
    <w:rsid w:val="00B81B26"/>
    <w:rsid w:val="00B87FB0"/>
    <w:rsid w:val="00B91DE5"/>
    <w:rsid w:val="00B92B8D"/>
    <w:rsid w:val="00B92DF1"/>
    <w:rsid w:val="00B92E77"/>
    <w:rsid w:val="00B93954"/>
    <w:rsid w:val="00B94BE9"/>
    <w:rsid w:val="00B97826"/>
    <w:rsid w:val="00BA0FA3"/>
    <w:rsid w:val="00BA6068"/>
    <w:rsid w:val="00BA733B"/>
    <w:rsid w:val="00BA7A04"/>
    <w:rsid w:val="00BB0944"/>
    <w:rsid w:val="00BB756D"/>
    <w:rsid w:val="00BB761E"/>
    <w:rsid w:val="00BB7DD9"/>
    <w:rsid w:val="00BC14F7"/>
    <w:rsid w:val="00BC44A7"/>
    <w:rsid w:val="00BC4F91"/>
    <w:rsid w:val="00BC7D8B"/>
    <w:rsid w:val="00BD1236"/>
    <w:rsid w:val="00BD1BE9"/>
    <w:rsid w:val="00BD32C2"/>
    <w:rsid w:val="00BD4048"/>
    <w:rsid w:val="00BD40AF"/>
    <w:rsid w:val="00BD52C1"/>
    <w:rsid w:val="00BE196A"/>
    <w:rsid w:val="00BE1BCA"/>
    <w:rsid w:val="00BE324E"/>
    <w:rsid w:val="00BF053B"/>
    <w:rsid w:val="00BF0D36"/>
    <w:rsid w:val="00BF11DB"/>
    <w:rsid w:val="00BF1EA5"/>
    <w:rsid w:val="00BF42C8"/>
    <w:rsid w:val="00BF4588"/>
    <w:rsid w:val="00C000C8"/>
    <w:rsid w:val="00C00D11"/>
    <w:rsid w:val="00C02A25"/>
    <w:rsid w:val="00C0430B"/>
    <w:rsid w:val="00C12B26"/>
    <w:rsid w:val="00C1339A"/>
    <w:rsid w:val="00C15854"/>
    <w:rsid w:val="00C1640F"/>
    <w:rsid w:val="00C2599F"/>
    <w:rsid w:val="00C26A4A"/>
    <w:rsid w:val="00C27334"/>
    <w:rsid w:val="00C32A1E"/>
    <w:rsid w:val="00C35463"/>
    <w:rsid w:val="00C36343"/>
    <w:rsid w:val="00C40A59"/>
    <w:rsid w:val="00C44703"/>
    <w:rsid w:val="00C45356"/>
    <w:rsid w:val="00C461CB"/>
    <w:rsid w:val="00C47310"/>
    <w:rsid w:val="00C47CFF"/>
    <w:rsid w:val="00C500E7"/>
    <w:rsid w:val="00C504E9"/>
    <w:rsid w:val="00C5092B"/>
    <w:rsid w:val="00C5265F"/>
    <w:rsid w:val="00C556F4"/>
    <w:rsid w:val="00C5610F"/>
    <w:rsid w:val="00C57EB9"/>
    <w:rsid w:val="00C613DB"/>
    <w:rsid w:val="00C62230"/>
    <w:rsid w:val="00C62C56"/>
    <w:rsid w:val="00C67702"/>
    <w:rsid w:val="00C70ACD"/>
    <w:rsid w:val="00C723D3"/>
    <w:rsid w:val="00C737A7"/>
    <w:rsid w:val="00C761D8"/>
    <w:rsid w:val="00C818D8"/>
    <w:rsid w:val="00C81BB7"/>
    <w:rsid w:val="00C82DCF"/>
    <w:rsid w:val="00C86A05"/>
    <w:rsid w:val="00C906B9"/>
    <w:rsid w:val="00C9212B"/>
    <w:rsid w:val="00C92C04"/>
    <w:rsid w:val="00C933D1"/>
    <w:rsid w:val="00C943EC"/>
    <w:rsid w:val="00C94E39"/>
    <w:rsid w:val="00C95618"/>
    <w:rsid w:val="00C96297"/>
    <w:rsid w:val="00C973A5"/>
    <w:rsid w:val="00C97B70"/>
    <w:rsid w:val="00CA059A"/>
    <w:rsid w:val="00CA2CA7"/>
    <w:rsid w:val="00CA2CEA"/>
    <w:rsid w:val="00CA333A"/>
    <w:rsid w:val="00CA4514"/>
    <w:rsid w:val="00CA6722"/>
    <w:rsid w:val="00CA6A97"/>
    <w:rsid w:val="00CC241C"/>
    <w:rsid w:val="00CC2E98"/>
    <w:rsid w:val="00CC4FF8"/>
    <w:rsid w:val="00CC52B4"/>
    <w:rsid w:val="00CC566B"/>
    <w:rsid w:val="00CC704E"/>
    <w:rsid w:val="00CD0DB3"/>
    <w:rsid w:val="00CD15C3"/>
    <w:rsid w:val="00CD6589"/>
    <w:rsid w:val="00CE0938"/>
    <w:rsid w:val="00CE57C3"/>
    <w:rsid w:val="00CE7B74"/>
    <w:rsid w:val="00CF00A1"/>
    <w:rsid w:val="00CF11E6"/>
    <w:rsid w:val="00CF3765"/>
    <w:rsid w:val="00D03F16"/>
    <w:rsid w:val="00D04831"/>
    <w:rsid w:val="00D06C1A"/>
    <w:rsid w:val="00D06D1A"/>
    <w:rsid w:val="00D073C6"/>
    <w:rsid w:val="00D10164"/>
    <w:rsid w:val="00D10257"/>
    <w:rsid w:val="00D13EF5"/>
    <w:rsid w:val="00D227D6"/>
    <w:rsid w:val="00D22862"/>
    <w:rsid w:val="00D23BE1"/>
    <w:rsid w:val="00D31CC1"/>
    <w:rsid w:val="00D336CC"/>
    <w:rsid w:val="00D3470E"/>
    <w:rsid w:val="00D34A87"/>
    <w:rsid w:val="00D36B71"/>
    <w:rsid w:val="00D410C2"/>
    <w:rsid w:val="00D44B74"/>
    <w:rsid w:val="00D45082"/>
    <w:rsid w:val="00D5035A"/>
    <w:rsid w:val="00D57020"/>
    <w:rsid w:val="00D57C42"/>
    <w:rsid w:val="00D627FB"/>
    <w:rsid w:val="00D640C7"/>
    <w:rsid w:val="00D6540D"/>
    <w:rsid w:val="00D70476"/>
    <w:rsid w:val="00D74A10"/>
    <w:rsid w:val="00D7792F"/>
    <w:rsid w:val="00D81E1F"/>
    <w:rsid w:val="00D85207"/>
    <w:rsid w:val="00D85237"/>
    <w:rsid w:val="00D86F1C"/>
    <w:rsid w:val="00D90A6E"/>
    <w:rsid w:val="00D91176"/>
    <w:rsid w:val="00D940EB"/>
    <w:rsid w:val="00D94D5C"/>
    <w:rsid w:val="00D95C9E"/>
    <w:rsid w:val="00DA4DC2"/>
    <w:rsid w:val="00DA4EC5"/>
    <w:rsid w:val="00DA60C5"/>
    <w:rsid w:val="00DA7D01"/>
    <w:rsid w:val="00DB1660"/>
    <w:rsid w:val="00DB1C97"/>
    <w:rsid w:val="00DB2D17"/>
    <w:rsid w:val="00DB40D4"/>
    <w:rsid w:val="00DC044D"/>
    <w:rsid w:val="00DC0922"/>
    <w:rsid w:val="00DC230C"/>
    <w:rsid w:val="00DC5AE2"/>
    <w:rsid w:val="00DD03DD"/>
    <w:rsid w:val="00DD096F"/>
    <w:rsid w:val="00DD4694"/>
    <w:rsid w:val="00DD714B"/>
    <w:rsid w:val="00DD782B"/>
    <w:rsid w:val="00DE04A4"/>
    <w:rsid w:val="00DE4FC7"/>
    <w:rsid w:val="00DE7C99"/>
    <w:rsid w:val="00DF0C7C"/>
    <w:rsid w:val="00DF3082"/>
    <w:rsid w:val="00DF406F"/>
    <w:rsid w:val="00DF59CF"/>
    <w:rsid w:val="00DF7CD4"/>
    <w:rsid w:val="00E04AD8"/>
    <w:rsid w:val="00E10848"/>
    <w:rsid w:val="00E10F34"/>
    <w:rsid w:val="00E11BAF"/>
    <w:rsid w:val="00E11F76"/>
    <w:rsid w:val="00E12105"/>
    <w:rsid w:val="00E12A36"/>
    <w:rsid w:val="00E20AB8"/>
    <w:rsid w:val="00E20D7C"/>
    <w:rsid w:val="00E244D7"/>
    <w:rsid w:val="00E27435"/>
    <w:rsid w:val="00E27456"/>
    <w:rsid w:val="00E27ECD"/>
    <w:rsid w:val="00E3063C"/>
    <w:rsid w:val="00E312BB"/>
    <w:rsid w:val="00E32ED9"/>
    <w:rsid w:val="00E34554"/>
    <w:rsid w:val="00E364E0"/>
    <w:rsid w:val="00E40672"/>
    <w:rsid w:val="00E42027"/>
    <w:rsid w:val="00E426A9"/>
    <w:rsid w:val="00E43893"/>
    <w:rsid w:val="00E467AA"/>
    <w:rsid w:val="00E46D99"/>
    <w:rsid w:val="00E47928"/>
    <w:rsid w:val="00E51941"/>
    <w:rsid w:val="00E52503"/>
    <w:rsid w:val="00E54895"/>
    <w:rsid w:val="00E55236"/>
    <w:rsid w:val="00E56507"/>
    <w:rsid w:val="00E569DF"/>
    <w:rsid w:val="00E57BD3"/>
    <w:rsid w:val="00E60170"/>
    <w:rsid w:val="00E62F08"/>
    <w:rsid w:val="00E64958"/>
    <w:rsid w:val="00E664AA"/>
    <w:rsid w:val="00E67AF6"/>
    <w:rsid w:val="00E67C9E"/>
    <w:rsid w:val="00E7042F"/>
    <w:rsid w:val="00E71357"/>
    <w:rsid w:val="00E71E0F"/>
    <w:rsid w:val="00E72FBD"/>
    <w:rsid w:val="00E75D42"/>
    <w:rsid w:val="00E77266"/>
    <w:rsid w:val="00E80CFE"/>
    <w:rsid w:val="00E81E9B"/>
    <w:rsid w:val="00E84EA4"/>
    <w:rsid w:val="00E8710E"/>
    <w:rsid w:val="00E90551"/>
    <w:rsid w:val="00E91EFA"/>
    <w:rsid w:val="00E92449"/>
    <w:rsid w:val="00E929F9"/>
    <w:rsid w:val="00E931A0"/>
    <w:rsid w:val="00E9450B"/>
    <w:rsid w:val="00E95CC2"/>
    <w:rsid w:val="00E97645"/>
    <w:rsid w:val="00EA179A"/>
    <w:rsid w:val="00EA26D5"/>
    <w:rsid w:val="00EA2AF8"/>
    <w:rsid w:val="00EA7EFD"/>
    <w:rsid w:val="00EA7F0F"/>
    <w:rsid w:val="00EB32D4"/>
    <w:rsid w:val="00EB391B"/>
    <w:rsid w:val="00EB5857"/>
    <w:rsid w:val="00EB6CFD"/>
    <w:rsid w:val="00EB73F0"/>
    <w:rsid w:val="00EC2B81"/>
    <w:rsid w:val="00EC383C"/>
    <w:rsid w:val="00EC4C9E"/>
    <w:rsid w:val="00EC5D99"/>
    <w:rsid w:val="00EC6190"/>
    <w:rsid w:val="00EC7267"/>
    <w:rsid w:val="00ED1492"/>
    <w:rsid w:val="00ED272E"/>
    <w:rsid w:val="00ED4710"/>
    <w:rsid w:val="00ED5653"/>
    <w:rsid w:val="00ED7A9E"/>
    <w:rsid w:val="00EE1F51"/>
    <w:rsid w:val="00EE262B"/>
    <w:rsid w:val="00EE2BEA"/>
    <w:rsid w:val="00EE3785"/>
    <w:rsid w:val="00EF45CC"/>
    <w:rsid w:val="00F0534F"/>
    <w:rsid w:val="00F070C5"/>
    <w:rsid w:val="00F07659"/>
    <w:rsid w:val="00F13989"/>
    <w:rsid w:val="00F13EF7"/>
    <w:rsid w:val="00F20769"/>
    <w:rsid w:val="00F20D5B"/>
    <w:rsid w:val="00F21A64"/>
    <w:rsid w:val="00F30915"/>
    <w:rsid w:val="00F32E3B"/>
    <w:rsid w:val="00F33B3E"/>
    <w:rsid w:val="00F340C6"/>
    <w:rsid w:val="00F3576E"/>
    <w:rsid w:val="00F37827"/>
    <w:rsid w:val="00F37CDA"/>
    <w:rsid w:val="00F40D5B"/>
    <w:rsid w:val="00F4397D"/>
    <w:rsid w:val="00F44CD0"/>
    <w:rsid w:val="00F47DC8"/>
    <w:rsid w:val="00F5118B"/>
    <w:rsid w:val="00F52F3D"/>
    <w:rsid w:val="00F530F3"/>
    <w:rsid w:val="00F56215"/>
    <w:rsid w:val="00F620AD"/>
    <w:rsid w:val="00F677A4"/>
    <w:rsid w:val="00F73C3A"/>
    <w:rsid w:val="00F73F17"/>
    <w:rsid w:val="00F750D7"/>
    <w:rsid w:val="00F83193"/>
    <w:rsid w:val="00F834E6"/>
    <w:rsid w:val="00F8356B"/>
    <w:rsid w:val="00F84556"/>
    <w:rsid w:val="00F85915"/>
    <w:rsid w:val="00F87225"/>
    <w:rsid w:val="00F90AE6"/>
    <w:rsid w:val="00F922A5"/>
    <w:rsid w:val="00F942B7"/>
    <w:rsid w:val="00F958EC"/>
    <w:rsid w:val="00F965E8"/>
    <w:rsid w:val="00FA04BC"/>
    <w:rsid w:val="00FB025D"/>
    <w:rsid w:val="00FB02E6"/>
    <w:rsid w:val="00FB3DFB"/>
    <w:rsid w:val="00FB4F86"/>
    <w:rsid w:val="00FB7471"/>
    <w:rsid w:val="00FC1B09"/>
    <w:rsid w:val="00FC65FD"/>
    <w:rsid w:val="00FD2C9F"/>
    <w:rsid w:val="00FD4AA8"/>
    <w:rsid w:val="00FD6FBA"/>
    <w:rsid w:val="00FD76A0"/>
    <w:rsid w:val="00FE0E92"/>
    <w:rsid w:val="00FE1715"/>
    <w:rsid w:val="00FE187E"/>
    <w:rsid w:val="00FE2F5C"/>
    <w:rsid w:val="00FE3A6D"/>
    <w:rsid w:val="00FE3E4D"/>
    <w:rsid w:val="00FF0BD5"/>
    <w:rsid w:val="00FF1A6C"/>
    <w:rsid w:val="00FF2B07"/>
    <w:rsid w:val="00FF342A"/>
    <w:rsid w:val="00FF364A"/>
    <w:rsid w:val="00FF6677"/>
    <w:rsid w:val="00FF7DD5"/>
    <w:rsid w:val="04380262"/>
    <w:rsid w:val="04D253F8"/>
    <w:rsid w:val="04D32E79"/>
    <w:rsid w:val="07017C0B"/>
    <w:rsid w:val="077B0A23"/>
    <w:rsid w:val="0AE30B6B"/>
    <w:rsid w:val="0B987394"/>
    <w:rsid w:val="0D542C65"/>
    <w:rsid w:val="0DC50CC3"/>
    <w:rsid w:val="0E2865FE"/>
    <w:rsid w:val="0F0D06F9"/>
    <w:rsid w:val="10091EA3"/>
    <w:rsid w:val="11D417F5"/>
    <w:rsid w:val="135702BC"/>
    <w:rsid w:val="13891D18"/>
    <w:rsid w:val="15075A0D"/>
    <w:rsid w:val="16381737"/>
    <w:rsid w:val="165E4D04"/>
    <w:rsid w:val="19537696"/>
    <w:rsid w:val="197B045A"/>
    <w:rsid w:val="19B4357D"/>
    <w:rsid w:val="1BFC22FC"/>
    <w:rsid w:val="1BFC62B2"/>
    <w:rsid w:val="1D640D44"/>
    <w:rsid w:val="1DC16EE0"/>
    <w:rsid w:val="1DDB309B"/>
    <w:rsid w:val="1DE12090"/>
    <w:rsid w:val="1FC76547"/>
    <w:rsid w:val="204C400B"/>
    <w:rsid w:val="21E60529"/>
    <w:rsid w:val="22B52A4C"/>
    <w:rsid w:val="22E60B40"/>
    <w:rsid w:val="2472193F"/>
    <w:rsid w:val="24B514AF"/>
    <w:rsid w:val="29747D10"/>
    <w:rsid w:val="2A2E07C1"/>
    <w:rsid w:val="2AA31EED"/>
    <w:rsid w:val="2C3C373F"/>
    <w:rsid w:val="2D5E3AFE"/>
    <w:rsid w:val="2EAA46BA"/>
    <w:rsid w:val="2FA57F52"/>
    <w:rsid w:val="2FC64549"/>
    <w:rsid w:val="30CF20BB"/>
    <w:rsid w:val="32AC0348"/>
    <w:rsid w:val="32D801CE"/>
    <w:rsid w:val="35AE016E"/>
    <w:rsid w:val="36510111"/>
    <w:rsid w:val="381B11A2"/>
    <w:rsid w:val="3C7F57B0"/>
    <w:rsid w:val="3CDF6E2C"/>
    <w:rsid w:val="41585416"/>
    <w:rsid w:val="4426087B"/>
    <w:rsid w:val="44E25A90"/>
    <w:rsid w:val="456552E9"/>
    <w:rsid w:val="476D5FA2"/>
    <w:rsid w:val="48142C12"/>
    <w:rsid w:val="48A00211"/>
    <w:rsid w:val="4AAE08D2"/>
    <w:rsid w:val="4CF932E6"/>
    <w:rsid w:val="4E030EF4"/>
    <w:rsid w:val="4E090C1D"/>
    <w:rsid w:val="4EAA2B1D"/>
    <w:rsid w:val="503B2D05"/>
    <w:rsid w:val="50B7737A"/>
    <w:rsid w:val="517D4B0B"/>
    <w:rsid w:val="51C63616"/>
    <w:rsid w:val="536B5669"/>
    <w:rsid w:val="537F1563"/>
    <w:rsid w:val="55370152"/>
    <w:rsid w:val="55E30AA9"/>
    <w:rsid w:val="59BF59EC"/>
    <w:rsid w:val="59E14B67"/>
    <w:rsid w:val="59FC3797"/>
    <w:rsid w:val="5A2C28F7"/>
    <w:rsid w:val="5AB52DAB"/>
    <w:rsid w:val="5C521A35"/>
    <w:rsid w:val="5F7637EA"/>
    <w:rsid w:val="607D0AD1"/>
    <w:rsid w:val="62EE2E59"/>
    <w:rsid w:val="62F607CB"/>
    <w:rsid w:val="63EA52BF"/>
    <w:rsid w:val="656677A9"/>
    <w:rsid w:val="663933C4"/>
    <w:rsid w:val="69240922"/>
    <w:rsid w:val="6AFC06BA"/>
    <w:rsid w:val="6B9A4795"/>
    <w:rsid w:val="70DB2859"/>
    <w:rsid w:val="719E4475"/>
    <w:rsid w:val="744B7CE2"/>
    <w:rsid w:val="746C7F9A"/>
    <w:rsid w:val="75664E32"/>
    <w:rsid w:val="75C95161"/>
    <w:rsid w:val="76E552FD"/>
    <w:rsid w:val="7A4B5FFA"/>
    <w:rsid w:val="7AE779D4"/>
    <w:rsid w:val="7CD03D11"/>
    <w:rsid w:val="7CD633DE"/>
    <w:rsid w:val="7F453376"/>
    <w:rsid w:val="7F8170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Straight Connector 72"/>
        <o:r id="V:Rule2" type="connector" idref="#Straight Connector 7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Cambria" w:hAnsi="Cambria"/>
      <w:b/>
      <w:bCs/>
      <w:kern w:val="0"/>
      <w:sz w:val="32"/>
      <w:szCs w:val="3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unhideWhenUsed/>
    <w:qFormat/>
    <w:uiPriority w:val="99"/>
    <w:rPr>
      <w:kern w:val="0"/>
      <w:sz w:val="18"/>
      <w:szCs w:val="18"/>
    </w:rPr>
  </w:style>
  <w:style w:type="paragraph" w:styleId="5">
    <w:name w:val="footer"/>
    <w:basedOn w:val="1"/>
    <w:link w:val="16"/>
    <w:unhideWhenUsed/>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toc 1"/>
    <w:basedOn w:val="1"/>
    <w:next w:val="1"/>
    <w:unhideWhenUsed/>
    <w:qFormat/>
    <w:uiPriority w:val="39"/>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single"/>
    </w:rPr>
  </w:style>
  <w:style w:type="paragraph" w:customStyle="1" w:styleId="12">
    <w:name w:val="列出段落1"/>
    <w:basedOn w:val="1"/>
    <w:qFormat/>
    <w:uiPriority w:val="34"/>
    <w:pPr>
      <w:ind w:firstLine="420" w:firstLineChars="200"/>
    </w:pPr>
  </w:style>
  <w:style w:type="paragraph" w:customStyle="1" w:styleId="13">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4">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5">
    <w:name w:val="页眉 字符"/>
    <w:link w:val="6"/>
    <w:qFormat/>
    <w:uiPriority w:val="99"/>
    <w:rPr>
      <w:sz w:val="18"/>
      <w:szCs w:val="18"/>
    </w:rPr>
  </w:style>
  <w:style w:type="character" w:customStyle="1" w:styleId="16">
    <w:name w:val="页脚 字符"/>
    <w:link w:val="5"/>
    <w:qFormat/>
    <w:uiPriority w:val="99"/>
    <w:rPr>
      <w:sz w:val="18"/>
      <w:szCs w:val="18"/>
    </w:rPr>
  </w:style>
  <w:style w:type="character" w:customStyle="1" w:styleId="17">
    <w:name w:val="批注框文本 字符"/>
    <w:link w:val="4"/>
    <w:semiHidden/>
    <w:qFormat/>
    <w:uiPriority w:val="99"/>
    <w:rPr>
      <w:rFonts w:ascii="Times New Roman" w:hAnsi="Times New Roman" w:eastAsia="宋体" w:cs="Times New Roman"/>
      <w:sz w:val="18"/>
      <w:szCs w:val="18"/>
    </w:rPr>
  </w:style>
  <w:style w:type="character" w:customStyle="1" w:styleId="18">
    <w:name w:val="标题 1 字符"/>
    <w:link w:val="2"/>
    <w:qFormat/>
    <w:uiPriority w:val="9"/>
    <w:rPr>
      <w:rFonts w:ascii="Times New Roman" w:hAnsi="Times New Roman" w:eastAsia="宋体" w:cs="Times New Roman"/>
      <w:b/>
      <w:bCs/>
      <w:kern w:val="44"/>
      <w:sz w:val="44"/>
      <w:szCs w:val="44"/>
    </w:rPr>
  </w:style>
  <w:style w:type="character" w:customStyle="1" w:styleId="19">
    <w:name w:val="标题 2 字符"/>
    <w:link w:val="3"/>
    <w:qFormat/>
    <w:uiPriority w:val="9"/>
    <w:rPr>
      <w:rFonts w:ascii="Cambria" w:hAnsi="Cambria" w:eastAsia="宋体" w:cs="Times New Roman"/>
      <w:b/>
      <w:bCs/>
      <w:sz w:val="32"/>
      <w:szCs w:val="32"/>
    </w:rPr>
  </w:style>
  <w:style w:type="character" w:customStyle="1" w:styleId="20">
    <w:name w:val="不明显强调1"/>
    <w:qFormat/>
    <w:uiPriority w:val="19"/>
    <w:rPr>
      <w:i/>
      <w:iCs/>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2050" textRotate="1"/>
    <customShpInfo spid="_x0000_s1038"/>
    <customShpInfo spid="_x0000_s1039"/>
    <customShpInfo spid="_x0000_s1040"/>
    <customShpInfo spid="_x0000_s1041"/>
    <customShpInfo spid="_x0000_s1042"/>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621</Words>
  <Characters>3546</Characters>
  <Lines>29</Lines>
  <Paragraphs>8</Paragraphs>
  <TotalTime>1</TotalTime>
  <ScaleCrop>false</ScaleCrop>
  <LinksUpToDate>false</LinksUpToDate>
  <CharactersWithSpaces>4159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2014-11-28T03:37:00Z</dcterms:created>
  <dc:creator>china</dc:creator>
  <cp:lastModifiedBy>Aa测试仪器华瑞远大 简15871811266</cp:lastModifiedBy>
  <cp:lastPrinted>2014-08-06T09:16:00Z</cp:lastPrinted>
  <dcterms:modified xsi:type="dcterms:W3CDTF">2021-11-29T03:02:14Z</dcterms:modified>
  <dc:title>TAG-8610</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EB86DA718CEE43F392B04AA9E2F8727D</vt:lpwstr>
  </property>
</Properties>
</file>